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a3eb10ee4d053e5bd91b64e87431417896aeb4b"/>
    <w:p>
      <w:pPr>
        <w:pStyle w:val="Heading1"/>
      </w:pPr>
      <w:r>
        <w:t xml:space="preserve">Sales Report: Dietitian Services Performance in United States San Francisco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Strategic Growth Department</w:t>
      </w:r>
    </w:p>
    <w:bookmarkStart w:id="20" w:name="i.-executive-summary"/>
    <w:p>
      <w:pPr>
        <w:pStyle w:val="Heading2"/>
      </w:pPr>
      <w:r>
        <w:t xml:space="preserve">I. Executive Summary</w:t>
      </w:r>
    </w:p>
    <w:p>
      <w:pPr>
        <w:pStyle w:val="FirstParagraph"/>
      </w:pPr>
      <w:r>
        <w:t xml:space="preserve">This comprehensive Sales Report details the performance of dietitian services across United States San Francisco during the third quarter of 2023. The report confirms significant growth in demand for specialized nutrition expertise, driven by heightened health awareness, corporate wellness initiatives, and a thriving healthcare ecosystem. Our dietitian service line achieved a 32% year-over-year revenue increase, with San Francisco emerging as the most profitable metropolitan market in our national portfolio. This success underscores the strategic importance of optimizing dietitian offerings within the United States San Francisco market to capitalize on evolving consumer health priorities.</w:t>
      </w:r>
    </w:p>
    <w:bookmarkEnd w:id="20"/>
    <w:bookmarkStart w:id="21" w:name="X8253dd513d4e03a527f65e538cb2f9d9590f4f4"/>
    <w:p>
      <w:pPr>
        <w:pStyle w:val="Heading2"/>
      </w:pPr>
      <w:r>
        <w:t xml:space="preserve">II. Market Context: Dietitian Demand in United States San Francisco</w:t>
      </w:r>
    </w:p>
    <w:p>
      <w:pPr>
        <w:pStyle w:val="FirstParagraph"/>
      </w:pPr>
      <w:r>
        <w:t xml:space="preserve">San Francisco’s unique demographic landscape has positioned it as a national leader in demand for evidence-based nutrition services. With 68% of residents participating in regular wellness activities (SF Health Survey 2023) and a concentration of tech industry professionals seeking metabolic health solutions, the market presents unparalleled opportunities. The city’s stringent health regulations—particularly around workplace wellness under the California Healthy Workplace Act—and high disposable income levels ($84,159 median household income) have accelerated adoption of personalized dietitian services. Notably, 73% of our clients in United States San Francisco cite "scientifically backed nutrition guidance" as their primary service differentiator versus generic fitness apps.</w:t>
      </w:r>
    </w:p>
    <w:bookmarkEnd w:id="21"/>
    <w:bookmarkStart w:id="24" w:name="iii.-sales-performance-analysis-q3-2023"/>
    <w:p>
      <w:pPr>
        <w:pStyle w:val="Heading2"/>
      </w:pPr>
      <w:r>
        <w:t xml:space="preserve">III. Sales Performance Analysis (Q3 2023)</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(Dietitian Services)</w:t>
      </w:r>
    </w:p>
    <w:p>
      <w:pPr>
        <w:pStyle w:val="BodyText"/>
      </w:pPr>
      <w:r>
        <w:t xml:space="preserve">$418,500</w:t>
      </w:r>
    </w:p>
    <w:p>
      <w:pPr>
        <w:pStyle w:val="BodyText"/>
      </w:pPr>
      <w:r>
        <w:t xml:space="preserve">$317,000</w:t>
      </w:r>
    </w:p>
    <w:p>
      <w:pPr>
        <w:pStyle w:val="BodyText"/>
      </w:pPr>
      <w:r>
        <w:t xml:space="preserve">+32.0%</w:t>
      </w:r>
    </w:p>
    <w:p>
      <w:pPr>
        <w:pStyle w:val="BodyText"/>
      </w:pPr>
      <w:r>
        <w:t xml:space="preserve">Client Acquisition Rate</w:t>
      </w:r>
    </w:p>
    <w:p>
      <w:pPr>
        <w:pStyle w:val="BodyText"/>
      </w:pPr>
      <w:r>
        <w:t xml:space="preserve">215 new clients</w:t>
      </w:r>
    </w:p>
    <w:p>
      <w:pPr>
        <w:pStyle w:val="BodyText"/>
      </w:pPr>
      <w:r>
        <w:t xml:space="preserve">&lt;</w:t>
      </w:r>
    </w:p>
    <w:p>
      <w:pPr>
        <w:pStyle w:val="BodyText"/>
      </w:pPr>
      <w:r>
        <w:t xml:space="preserve">168 new clients</w:t>
      </w:r>
    </w:p>
    <w:p>
      <w:pPr>
        <w:pStyle w:val="BodyText"/>
      </w:pPr>
      <w:r>
        <w:t xml:space="preserve">+28.0%</w:t>
      </w:r>
    </w:p>
    <w:p>
      <w:pPr>
        <w:pStyle w:val="BodyText"/>
      </w:pPr>
      <w:r>
        <w:t xml:space="preserve">Average Revenue per Client (ARPC)</w:t>
      </w:r>
    </w:p>
    <w:p>
      <w:pPr>
        <w:pStyle w:val="BodyText"/>
      </w:pPr>
      <w:r>
        <w:t xml:space="preserve">$1,947</w:t>
      </w:r>
    </w:p>
    <w:p>
      <w:pPr>
        <w:pStyle w:val="BodyText"/>
      </w:pPr>
      <w:r>
        <w:t xml:space="preserve">$1,887</w:t>
      </w:r>
    </w:p>
    <w:p>
      <w:pPr>
        <w:pStyle w:val="BodyText"/>
      </w:pPr>
      <w:r>
        <w:t xml:space="preserve">+3.2%</w:t>
      </w:r>
    </w:p>
    <w:p>
      <w:pPr>
        <w:pStyle w:val="BodyText"/>
      </w:pPr>
      <w:r>
        <w:t xml:space="preserve">Corporate Wellness Contracts</w:t>
      </w:r>
    </w:p>
    <w:p>
      <w:pPr>
        <w:pStyle w:val="BodyText"/>
      </w:pPr>
      <w:r>
        <w:t xml:space="preserve">12 new agreements</w:t>
      </w:r>
    </w:p>
    <w:p>
      <w:pPr>
        <w:pStyle w:val="BodyText"/>
      </w:pPr>
      <w:r>
        <w:t xml:space="preserve">&lt;</w:t>
      </w:r>
    </w:p>
    <w:p>
      <w:pPr>
        <w:pStyle w:val="BodyText"/>
      </w:pPr>
      <w:r>
        <w:t xml:space="preserve">5 new agreements</w:t>
      </w:r>
    </w:p>
    <w:p>
      <w:pPr>
        <w:pStyle w:val="BodyText"/>
      </w:pPr>
      <w:r>
        <w:t xml:space="preserve">Cancellation Rate</w:t>
      </w:r>
    </w:p>
    <w:p>
      <w:pPr>
        <w:pStyle w:val="BodyText"/>
      </w:pPr>
      <w:r>
        <w:t xml:space="preserve">4.7%</w:t>
      </w:r>
    </w:p>
    <w:bookmarkStart w:id="22" w:name="a.-revenue-drivers"/>
    <w:p>
      <w:pPr>
        <w:pStyle w:val="Heading3"/>
      </w:pPr>
      <w:r>
        <w:t xml:space="preserve">A. Revenue Drivers:</w:t>
      </w:r>
    </w:p>
    <w:p>
      <w:pPr>
        <w:numPr>
          <w:ilvl w:val="0"/>
          <w:numId w:val="1001"/>
        </w:numPr>
        <w:pStyle w:val="Compact"/>
      </w:pPr>
      <w:r>
        <w:rPr>
          <w:bCs/>
          <w:b/>
        </w:rPr>
        <w:t xml:space="preserve">Corporate Partnerships:</w:t>
      </w:r>
      <w:r>
        <w:t xml:space="preserve"> </w:t>
      </w:r>
      <w:r>
        <w:t xml:space="preserve">28% of revenue came from partnerships with tech giants (e.g., Salesforce, Airbnb) implementing mandatory nutrition check-ins for employee wellness programs—up 140% YoY.</w:t>
      </w:r>
    </w:p>
    <w:p>
      <w:pPr>
        <w:numPr>
          <w:ilvl w:val="0"/>
          <w:numId w:val="1001"/>
        </w:numPr>
        <w:pStyle w:val="Compact"/>
      </w:pPr>
      <w:r>
        <w:rPr>
          <w:bCs/>
          <w:b/>
        </w:rPr>
        <w:t xml:space="preserve">Premium Consultations:</w:t>
      </w:r>
      <w:r>
        <w:t xml:space="preserve"> </w:t>
      </w:r>
      <w:r>
        <w:t xml:space="preserve">High-demand specialty services (e.g., diabetes management, sports nutrition) generated 52% of revenue at $325–$600/session versus standard $175 sessions.</w:t>
      </w:r>
    </w:p>
    <w:p>
      <w:pPr>
        <w:numPr>
          <w:ilvl w:val="0"/>
          <w:numId w:val="1001"/>
        </w:numPr>
        <w:pStyle w:val="Compact"/>
      </w:pPr>
      <w:r>
        <w:rPr>
          <w:bCs/>
          <w:b/>
        </w:rPr>
        <w:t xml:space="preserve">Subscription Models:</w:t>
      </w:r>
      <w:r>
        <w:t xml:space="preserve"> </w:t>
      </w:r>
      <w:r>
        <w:t xml:space="preserve">"NutriWell" membership plans (monthly dietitian access + meal planning) grew by 67%, contributing $142,000 in recurring revenue.</w:t>
      </w:r>
    </w:p>
    <w:bookmarkEnd w:id="22"/>
    <w:bookmarkStart w:id="23" w:name="b.-geographic-performance"/>
    <w:p>
      <w:pPr>
        <w:pStyle w:val="Heading3"/>
      </w:pPr>
      <w:r>
        <w:t xml:space="preserve">B. Geographic Performance:</w:t>
      </w:r>
    </w:p>
    <w:p>
      <w:pPr>
        <w:pStyle w:val="FirstParagraph"/>
      </w:pPr>
      <w:r>
        <w:t xml:space="preserve">All 5 sales regions in San Francisco exceeded targets, with the following highlights:</w:t>
      </w:r>
    </w:p>
    <w:p>
      <w:pPr>
        <w:numPr>
          <w:ilvl w:val="0"/>
          <w:numId w:val="1002"/>
        </w:numPr>
        <w:pStyle w:val="Compact"/>
      </w:pPr>
      <w:r>
        <w:t xml:space="preserve">South of Market (SoMa): +41% revenue (driven by startup wellness integrations)</w:t>
      </w:r>
    </w:p>
    <w:p>
      <w:pPr>
        <w:numPr>
          <w:ilvl w:val="0"/>
          <w:numId w:val="1002"/>
        </w:numPr>
        <w:pStyle w:val="Compact"/>
      </w:pPr>
      <w:r>
        <w:t xml:space="preserve">Marina District: +29% revenue (premium residential market)</w:t>
      </w:r>
    </w:p>
    <w:p>
      <w:pPr>
        <w:numPr>
          <w:ilvl w:val="0"/>
          <w:numId w:val="1002"/>
        </w:numPr>
        <w:pStyle w:val="Compact"/>
      </w:pPr>
      <w:r>
        <w:t xml:space="preserve">Southwest San Francisco: +35% revenue (medical partnerships with UCSF Health networks)</w:t>
      </w:r>
    </w:p>
    <w:bookmarkEnd w:id="23"/>
    <w:bookmarkEnd w:id="24"/>
    <w:bookmarkStart w:id="25" w:name="Xfcf1311778430f0afc68d27ec238d289d924d20"/>
    <w:p>
      <w:pPr>
        <w:pStyle w:val="Heading2"/>
      </w:pPr>
      <w:r>
        <w:t xml:space="preserve">IV. Customer Insights &amp; Demographic Analysis</w:t>
      </w:r>
    </w:p>
    <w:p>
      <w:pPr>
        <w:pStyle w:val="FirstParagraph"/>
      </w:pPr>
      <w:r>
        <w:t xml:space="preserve">Client data reveals a sophisticated San Francisco market:</w:t>
      </w:r>
    </w:p>
    <w:p>
      <w:pPr>
        <w:numPr>
          <w:ilvl w:val="0"/>
          <w:numId w:val="1003"/>
        </w:numPr>
        <w:pStyle w:val="Compact"/>
      </w:pPr>
      <w:r>
        <w:rPr>
          <w:bCs/>
          <w:b/>
        </w:rPr>
        <w:t xml:space="preserve">Primary Demographics:</w:t>
      </w:r>
      <w:r>
        <w:t xml:space="preserve"> </w:t>
      </w:r>
      <w:r>
        <w:t xml:space="preserve">68% aged 28–50, 74% college-educated, 59% female (vs. national average of 53%).</w:t>
      </w:r>
    </w:p>
    <w:p>
      <w:pPr>
        <w:numPr>
          <w:ilvl w:val="0"/>
          <w:numId w:val="1003"/>
        </w:numPr>
        <w:pStyle w:val="Compact"/>
      </w:pPr>
      <w:r>
        <w:rPr>
          <w:bCs/>
          <w:b/>
        </w:rPr>
        <w:t xml:space="preserve">Purchase Drivers:</w:t>
      </w:r>
      <w:r>
        <w:t xml:space="preserve"> </w:t>
      </w:r>
      <w:r>
        <w:t xml:space="preserve">"Evidence-based recommendations" (89%), "personalized meal plans" (82%), and "integration with fitness trackers" (76%) were top decision factors.</w:t>
      </w:r>
    </w:p>
    <w:p>
      <w:pPr>
        <w:numPr>
          <w:ilvl w:val="0"/>
          <w:numId w:val="1003"/>
        </w:numPr>
        <w:pStyle w:val="Compact"/>
      </w:pPr>
      <w:r>
        <w:rPr>
          <w:bCs/>
          <w:b/>
        </w:rPr>
        <w:t xml:space="preserve">Customer Journey:</w:t>
      </w:r>
      <w:r>
        <w:t xml:space="preserve"> </w:t>
      </w:r>
      <w:r>
        <w:t xml:space="preserve">63% of clients discovered services via LinkedIn ads targeting health-focused professionals; 34% through physician referrals from San Francisco-based clinics.</w:t>
      </w:r>
    </w:p>
    <w:bookmarkEnd w:id="25"/>
    <w:bookmarkStart w:id="26" w:name="v.-competitive-landscape-challenges"/>
    <w:p>
      <w:pPr>
        <w:pStyle w:val="Heading2"/>
      </w:pPr>
      <w:r>
        <w:t xml:space="preserve">V. Competitive Landscape &amp; Challenges</w:t>
      </w:r>
    </w:p>
    <w:p>
      <w:pPr>
        <w:pStyle w:val="FirstParagraph"/>
      </w:pPr>
      <w:r>
        <w:t xml:space="preserve">The United States San Francisco dietitian market is highly competitive but with distinct advantages:</w:t>
      </w:r>
    </w:p>
    <w:p>
      <w:pPr>
        <w:numPr>
          <w:ilvl w:val="0"/>
          <w:numId w:val="1004"/>
        </w:numPr>
        <w:pStyle w:val="Compact"/>
      </w:pPr>
      <w:r>
        <w:rPr>
          <w:bCs/>
          <w:b/>
        </w:rPr>
        <w:t xml:space="preserve">Competitor Weakness:</w:t>
      </w:r>
      <w:r>
        <w:t xml:space="preserve"> </w:t>
      </w:r>
      <w:r>
        <w:t xml:space="preserve">85% of competitors (e.g., local clinics, telehealth apps) lack registered dietitians (RDs) certified by the Commission on Dietetic Registration—our core differentiator.</w:t>
      </w:r>
    </w:p>
    <w:p>
      <w:pPr>
        <w:numPr>
          <w:ilvl w:val="0"/>
          <w:numId w:val="1004"/>
        </w:numPr>
        <w:pStyle w:val="Compact"/>
      </w:pPr>
      <w:r>
        <w:rPr>
          <w:bCs/>
          <w:b/>
        </w:rPr>
        <w:t xml:space="preserve">Key Challenges:</w:t>
      </w:r>
    </w:p>
    <w:p>
      <w:pPr>
        <w:numPr>
          <w:ilvl w:val="1"/>
          <w:numId w:val="1005"/>
        </w:numPr>
        <w:pStyle w:val="Compact"/>
      </w:pPr>
      <w:r>
        <w:t xml:space="preserve">High client acquisition costs ($128/client vs. $92 in national average)</w:t>
      </w:r>
    </w:p>
    <w:p>
      <w:pPr>
        <w:numPr>
          <w:ilvl w:val="1"/>
          <w:numId w:val="1005"/>
        </w:numPr>
        <w:pStyle w:val="Compact"/>
      </w:pPr>
      <w:r>
        <w:t xml:space="preserve">Seasonal demand dips during Q4 due to holiday-related program cancellations</w:t>
      </w:r>
    </w:p>
    <w:p>
      <w:pPr>
        <w:numPr>
          <w:ilvl w:val="1"/>
          <w:numId w:val="1005"/>
        </w:numPr>
        <w:pStyle w:val="Compact"/>
      </w:pPr>
      <w:r>
        <w:t xml:space="preserve">Limited dietitian capacity (only 15% of our staff are full-time in SF)</w:t>
      </w:r>
    </w:p>
    <w:bookmarkEnd w:id="26"/>
    <w:bookmarkStart w:id="27" w:name="vi.-strategic-recommendations"/>
    <w:p>
      <w:pPr>
        <w:pStyle w:val="Heading2"/>
      </w:pPr>
      <w:r>
        <w:t xml:space="preserve">VI. Strategic Recommendations</w:t>
      </w:r>
    </w:p>
    <w:p>
      <w:pPr>
        <w:pStyle w:val="FirstParagraph"/>
      </w:pPr>
      <w:r>
        <w:t xml:space="preserve">To sustain growth in United States San Francisco, we propose the following data-driven actions:</w:t>
      </w:r>
    </w:p>
    <w:p>
      <w:pPr>
        <w:numPr>
          <w:ilvl w:val="0"/>
          <w:numId w:val="1006"/>
        </w:numPr>
        <w:pStyle w:val="Compact"/>
      </w:pPr>
      <w:r>
        <w:rPr>
          <w:bCs/>
          <w:b/>
        </w:rPr>
        <w:t xml:space="preserve">Expand RD Capacity:</w:t>
      </w:r>
      <w:r>
        <w:t xml:space="preserve"> </w:t>
      </w:r>
      <w:r>
        <w:t xml:space="preserve">Hire 3 additional certified dietitians by Q1 2024 to eliminate waitlists (current average: 17 days) and capture $380K in untapped revenue.</w:t>
      </w:r>
    </w:p>
    <w:p>
      <w:pPr>
        <w:numPr>
          <w:ilvl w:val="0"/>
          <w:numId w:val="1006"/>
        </w:numPr>
        <w:pStyle w:val="Compact"/>
      </w:pPr>
      <w:r>
        <w:rPr>
          <w:bCs/>
          <w:b/>
        </w:rPr>
        <w:t xml:space="preserve">Launch Corporate Tiered Pricing:</w:t>
      </w:r>
      <w:r>
        <w:t xml:space="preserve"> </w:t>
      </w:r>
      <w:r>
        <w:t xml:space="preserve">Introduce "Wellness Platinum" packages ($1,500/employee/month) for Fortune 500 firms based on our SoMa partnership success with Salesforce.</w:t>
      </w:r>
    </w:p>
    <w:p>
      <w:pPr>
        <w:numPr>
          <w:ilvl w:val="0"/>
          <w:numId w:val="1006"/>
        </w:numPr>
        <w:pStyle w:val="Compact"/>
      </w:pPr>
      <w:r>
        <w:rPr>
          <w:bCs/>
          <w:b/>
        </w:rPr>
        <w:t xml:space="preserve">Localize Digital Marketing:</w:t>
      </w:r>
      <w:r>
        <w:t xml:space="preserve"> </w:t>
      </w:r>
      <w:r>
        <w:t xml:space="preserve">Target SF-specific health trends (e.g., "plant-based tech culture") via TikTok/Instagram ads to reduce acquisition costs by 22%.</w:t>
      </w:r>
    </w:p>
    <w:p>
      <w:pPr>
        <w:numPr>
          <w:ilvl w:val="0"/>
          <w:numId w:val="1006"/>
        </w:numPr>
        <w:pStyle w:val="Compact"/>
      </w:pPr>
      <w:r>
        <w:rPr>
          <w:bCs/>
          <w:b/>
        </w:rPr>
        <w:t xml:space="preserve">Develop Medical Referral Program:</w:t>
      </w:r>
      <w:r>
        <w:t xml:space="preserve"> </w:t>
      </w:r>
      <w:r>
        <w:t xml:space="preserve">Partner with 5 top San Francisco hospitals (e.g., Zuckerberg San Francisco General) for co-branded diabetes prevention programs.</w:t>
      </w:r>
    </w:p>
    <w:bookmarkEnd w:id="27"/>
    <w:bookmarkStart w:id="29" w:name="vii.-conclusion"/>
    <w:p>
      <w:pPr>
        <w:pStyle w:val="Heading2"/>
      </w:pPr>
      <w:r>
        <w:t xml:space="preserve">VII. Conclusion</w:t>
      </w:r>
    </w:p>
    <w:p>
      <w:pPr>
        <w:pStyle w:val="FirstParagraph"/>
      </w:pPr>
      <w:r>
        <w:t xml:space="preserve">The United States San Francisco market has validated dietitian services as a high-margin, scalable solution aligned with the city’s health-centric culture. Our Q3 performance demonstrates that specialized nutrition expertise—delivered by credentialed professionals—commands premium pricing and loyalty in this market. As we position for 2024, prioritizing capacity growth, corporate expansion, and hyper-localized marketing will solidify our dominance. With San Francisco representing 41% of our national revenue from dietitian services (up from 33% in Q3 2022), this region remains the cornerstone of our sales strategy. We project $1.8M annual dietitian revenue in United States San Francisco by end-2024, with a target margin exceeding 65%—significantly outperforming other U.S. markets.</w:t>
      </w:r>
    </w:p>
    <w:bookmarkStart w:id="28" w:name="appendix-key-metrics-snapshot"/>
    <w:p>
      <w:pPr>
        <w:pStyle w:val="Heading3"/>
      </w:pPr>
      <w:r>
        <w:t xml:space="preserve">Appendix: Key Metrics Snapshot</w:t>
      </w:r>
    </w:p>
    <w:p>
      <w:pPr>
        <w:numPr>
          <w:ilvl w:val="0"/>
          <w:numId w:val="1007"/>
        </w:numPr>
        <w:pStyle w:val="Compact"/>
      </w:pPr>
      <w:r>
        <w:rPr>
          <w:bCs/>
          <w:b/>
        </w:rPr>
        <w:t xml:space="preserve">Total Dietitian Clients (SF):</w:t>
      </w:r>
      <w:r>
        <w:t xml:space="preserve"> </w:t>
      </w:r>
      <w:r>
        <w:t xml:space="preserve">784 (vs. 596 in Q3 2022)</w:t>
      </w:r>
    </w:p>
    <w:p>
      <w:pPr>
        <w:numPr>
          <w:ilvl w:val="0"/>
          <w:numId w:val="1007"/>
        </w:numPr>
        <w:pStyle w:val="Compact"/>
      </w:pPr>
      <w:r>
        <w:rPr>
          <w:bCs/>
          <w:b/>
        </w:rPr>
        <w:t xml:space="preserve">Average Client Retention:</w:t>
      </w:r>
      <w:r>
        <w:t xml:space="preserve"> </w:t>
      </w:r>
      <w:r>
        <w:t xml:space="preserve">81% (vs. industry average of 67%)</w:t>
      </w:r>
    </w:p>
    <w:p>
      <w:pPr>
        <w:numPr>
          <w:ilvl w:val="0"/>
          <w:numId w:val="1007"/>
        </w:numPr>
        <w:pStyle w:val="Compact"/>
      </w:pPr>
      <w:r>
        <w:rPr>
          <w:bCs/>
          <w:b/>
        </w:rPr>
        <w:t xml:space="preserve">Client Satisfaction Score:</w:t>
      </w:r>
      <w:r>
        <w:t xml:space="preserve"> </w:t>
      </w:r>
      <w:r>
        <w:t xml:space="preserve">4.8/5 (based on post-session surveys)</w:t>
      </w:r>
    </w:p>
    <w:p>
      <w:pPr>
        <w:numPr>
          <w:ilvl w:val="0"/>
          <w:numId w:val="1007"/>
        </w:numPr>
        <w:pStyle w:val="Compact"/>
      </w:pPr>
      <w:r>
        <w:rPr>
          <w:bCs/>
          <w:b/>
        </w:rPr>
        <w:t xml:space="preserve">Demand Projection:</w:t>
      </w:r>
      <w:r>
        <w:t xml:space="preserve"> </w:t>
      </w:r>
      <w:r>
        <w:t xml:space="preserve">+27% growth in Q4 due to corporate wellness budget cycles</w:t>
      </w:r>
    </w:p>
    <w:p>
      <w:pPr>
        <w:pStyle w:val="FirstParagraph"/>
      </w:pPr>
      <w:r>
        <w:rPr>
          <w:iCs/>
          <w:i/>
        </w:rPr>
        <w:t xml:space="preserve">"San Francisco’s commitment to health innovation makes it the ideal proving ground for dietitian services. Our success here proves that specialized nutrition expertise is no longer a luxury—it's the foundation of modern wellness." - Alex Morgan, Director of Strategic Growth</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United States San Francisco</dc:title>
  <dc:creator/>
  <dc:language>en</dc:language>
  <cp:keywords/>
  <dcterms:created xsi:type="dcterms:W3CDTF">2026-07-24T03:59:03Z</dcterms:created>
  <dcterms:modified xsi:type="dcterms:W3CDTF">2026-07-24T03:59:03Z</dcterms:modified>
</cp:coreProperties>
</file>

<file path=docProps/custom.xml><?xml version="1.0" encoding="utf-8"?>
<Properties xmlns="http://schemas.openxmlformats.org/officeDocument/2006/custom-properties" xmlns:vt="http://schemas.openxmlformats.org/officeDocument/2006/docPropsVTypes"/>
</file>