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Venezuela</w:t>
      </w:r>
      <w:r>
        <w:t xml:space="preserve"> </w:t>
      </w:r>
      <w:r>
        <w:t xml:space="preserve">Caracas</w:t>
      </w:r>
    </w:p>
    <w:bookmarkStart w:id="28" w:name="X455e53540230befb650c0fec4449aa2709b4afe"/>
    <w:p>
      <w:pPr>
        <w:pStyle w:val="Heading1"/>
      </w:pPr>
      <w:r>
        <w:t xml:space="preserve">Sales Report: Dietitian Service Performance in Venezuela Caracas (Q3 2023)</w:t>
      </w:r>
    </w:p>
    <w:bookmarkStart w:id="20" w:name="executive-summary"/>
    <w:p>
      <w:pPr>
        <w:pStyle w:val="Heading2"/>
      </w:pPr>
      <w:r>
        <w:t xml:space="preserve">Executive Summary</w:t>
      </w:r>
    </w:p>
    <w:p>
      <w:pPr>
        <w:pStyle w:val="FirstParagraph"/>
      </w:pPr>
      <w:r>
        <w:t xml:space="preserve">This Sales Report details the performance of dietitian services within the healthcare and wellness sector in Caracas, Venezuela. Despite ongoing economic challenges, demand for specialized nutritional guidance has surged by 35% year-over-year. The report analyzes market dynamics, service adoption patterns, client demographics, and financial metrics specific to Venezuela Caracas. Key findings confirm that culturally adapted dietitian interventions are increasingly vital for addressing public health crises in our nation's capital.</w:t>
      </w:r>
    </w:p>
    <w:bookmarkEnd w:id="20"/>
    <w:bookmarkStart w:id="21" w:name="Xa2ed2b982ce764035698500ef5bd0e4b96b1059"/>
    <w:p>
      <w:pPr>
        <w:pStyle w:val="Heading2"/>
      </w:pPr>
      <w:r>
        <w:t xml:space="preserve">Market Context: Nutrition Demand in Venezuela Caracas</w:t>
      </w:r>
    </w:p>
    <w:p>
      <w:pPr>
        <w:pStyle w:val="FirstParagraph"/>
      </w:pPr>
      <w:r>
        <w:t xml:space="preserve">Caracas faces severe food insecurity, with 71% of households unable to afford healthy diets (FAO, 2023). This crisis has intensified demand for accessible dietitian services. In Venezuela Caracas, traditional diets based on limited staples (arepa, plantain) often lead to micronutrient deficiencies and rising obesity rates. Our data shows a 48% increase in consultations related to diabetes management and malnutrition prevention among low-income communities in Petare and La Pastora during Q3 2023.</w:t>
      </w:r>
    </w:p>
    <w:p>
      <w:pPr>
        <w:pStyle w:val="BodyText"/>
      </w:pPr>
      <w:r>
        <w:t xml:space="preserve">Unlike global wellness trends, Caracas' dietitian services must prioritize affordability and locally available ingredients. This adaptation is non-negotiable for viability in Venezuela. Our sales strategy focuses on community health centers rather than luxury clinics, directly addressing the needs of Venezuelans seeking practical nutrition solutions amid scarcity.</w:t>
      </w:r>
    </w:p>
    <w:bookmarkEnd w:id="21"/>
    <w:bookmarkStart w:id="22" w:name="service-offerings-sales-performance"/>
    <w:p>
      <w:pPr>
        <w:pStyle w:val="Heading2"/>
      </w:pPr>
      <w:r>
        <w:t xml:space="preserve">Service Offerings &amp; Sales Performance</w:t>
      </w:r>
    </w:p>
    <w:p>
      <w:pPr>
        <w:pStyle w:val="FirstParagraph"/>
      </w:pPr>
      <w:r>
        <w:t xml:space="preserve">Our Caracas-based dietitian team offers three core services tailored to local conditions:</w:t>
      </w:r>
    </w:p>
    <w:p>
      <w:pPr>
        <w:numPr>
          <w:ilvl w:val="0"/>
          <w:numId w:val="1001"/>
        </w:numPr>
        <w:pStyle w:val="Compact"/>
      </w:pPr>
      <w:r>
        <w:rPr>
          <w:bCs/>
          <w:b/>
        </w:rPr>
        <w:t xml:space="preserve">Emergency Nutritional Assessment:</w:t>
      </w:r>
      <w:r>
        <w:t xml:space="preserve"> </w:t>
      </w:r>
      <w:r>
        <w:t xml:space="preserve">Free screenings at public health centers (5,200 sessions delivered in Q3)</w:t>
      </w:r>
    </w:p>
    <w:p>
      <w:pPr>
        <w:numPr>
          <w:ilvl w:val="0"/>
          <w:numId w:val="1001"/>
        </w:numPr>
        <w:pStyle w:val="Compact"/>
      </w:pPr>
      <w:r>
        <w:rPr>
          <w:bCs/>
          <w:b/>
        </w:rPr>
        <w:t xml:space="preserve">Cashless Meal Planning:</w:t>
      </w:r>
      <w:r>
        <w:t xml:space="preserve"> </w:t>
      </w:r>
      <w:r>
        <w:t xml:space="preserve">Using locally sourced foods (beans, yuca, eggs) - 68% of clients</w:t>
      </w:r>
    </w:p>
    <w:p>
      <w:pPr>
        <w:numPr>
          <w:ilvl w:val="0"/>
          <w:numId w:val="1001"/>
        </w:numPr>
        <w:pStyle w:val="Compact"/>
      </w:pPr>
      <w:r>
        <w:rPr>
          <w:bCs/>
          <w:b/>
        </w:rPr>
        <w:t xml:space="preserve">Digital Consultations:</w:t>
      </w:r>
      <w:r>
        <w:t xml:space="preserve"> </w:t>
      </w:r>
      <w:r>
        <w:t xml:space="preserve">Optimized for low-bandwidth networks (72% of new clients)</w:t>
      </w:r>
    </w:p>
    <w:p>
      <w:pPr>
        <w:pStyle w:val="FirstParagraph"/>
      </w:pPr>
      <w:r>
        <w:t xml:space="preserve">Sales performance metrics demonstrate remarkable growth despite Venezuela's economic environment:</w:t>
      </w:r>
    </w:p>
    <w:p>
      <w:pPr>
        <w:pStyle w:val="BodyText"/>
      </w:pPr>
      <w:r>
        <w:t xml:space="preserve">Service</w:t>
      </w:r>
    </w:p>
    <w:p>
      <w:pPr>
        <w:pStyle w:val="BodyText"/>
      </w:pPr>
      <w:r>
        <w:t xml:space="preserve">Q2 2023 Clients</w:t>
      </w:r>
    </w:p>
    <w:p>
      <w:pPr>
        <w:pStyle w:val="BodyText"/>
      </w:pPr>
      <w:r>
        <w:t xml:space="preserve">Q3 2023 Clients</w:t>
      </w:r>
    </w:p>
    <w:p>
      <w:pPr>
        <w:pStyle w:val="BodyText"/>
      </w:pPr>
      <w:r>
        <w:t xml:space="preserve">% Growth</w:t>
      </w:r>
    </w:p>
    <w:p>
      <w:pPr>
        <w:pStyle w:val="BodyText"/>
      </w:pPr>
      <w:r>
        <w:t xml:space="preserve">Emergency Assessments</w:t>
      </w:r>
    </w:p>
    <w:p>
      <w:pPr>
        <w:pStyle w:val="BodyText"/>
      </w:pPr>
      <w:r>
        <w:t xml:space="preserve">4,150</w:t>
      </w:r>
    </w:p>
    <w:p>
      <w:pPr>
        <w:pStyle w:val="BodyText"/>
      </w:pPr>
      <w:r>
        <w:t xml:space="preserve">5,200</w:t>
      </w:r>
    </w:p>
    <w:p>
      <w:pPr>
        <w:pStyle w:val="BodyText"/>
      </w:pPr>
      <w:r>
        <w:t xml:space="preserve">25.3%</w:t>
      </w:r>
    </w:p>
    <w:p>
      <w:pPr>
        <w:pStyle w:val="BodyText"/>
      </w:pPr>
      <w:r>
        <w:t xml:space="preserve">Cashless Meal Plans</w:t>
      </w:r>
    </w:p>
    <w:p>
      <w:pPr>
        <w:pStyle w:val="BodyText"/>
      </w:pPr>
      <w:r>
        <w:t xml:space="preserve">1,870</w:t>
      </w:r>
    </w:p>
    <w:p>
      <w:pPr>
        <w:pStyle w:val="BodyText"/>
      </w:pPr>
      <w:r>
        <w:t xml:space="preserve">&lt; td&gt;3,692&lt; td &gt; 97.4%</w:t>
      </w:r>
    </w:p>
    <w:p>
      <w:pPr>
        <w:pStyle w:val="BodyText"/>
      </w:pPr>
      <w:r>
        <w:t xml:space="preserve">Digital Consultations</w:t>
      </w:r>
    </w:p>
    <w:p>
      <w:pPr>
        <w:pStyle w:val="BodyText"/>
      </w:pPr>
      <w:r>
        <w:t xml:space="preserve">2,430</w:t>
      </w:r>
    </w:p>
    <w:p>
      <w:pPr>
        <w:pStyle w:val="BodyText"/>
      </w:pPr>
      <w:r>
        <w:t xml:space="preserve">&lt; tc &gt; 113.4%</w:t>
      </w:r>
    </w:p>
    <w:bookmarkEnd w:id="22"/>
    <w:bookmarkStart w:id="23" w:name="X84caa84259552d97e532d381650ade27c170584"/>
    <w:p>
      <w:pPr>
        <w:pStyle w:val="Heading2"/>
      </w:pPr>
      <w:r>
        <w:t xml:space="preserve">Key Drivers of Success in Venezuela Caracas</w:t>
      </w:r>
    </w:p>
    <w:p>
      <w:pPr>
        <w:pStyle w:val="FirstParagraph"/>
      </w:pPr>
      <w:r>
        <w:t xml:space="preserve">Three factors explain our sales momentum:</w:t>
      </w:r>
    </w:p>
    <w:p>
      <w:pPr>
        <w:numPr>
          <w:ilvl w:val="0"/>
          <w:numId w:val="1002"/>
        </w:numPr>
        <w:pStyle w:val="Compact"/>
      </w:pPr>
      <w:r>
        <w:rPr>
          <w:bCs/>
          <w:b/>
        </w:rPr>
        <w:t xml:space="preserve">Cultural Relevance:</w:t>
      </w:r>
      <w:r>
        <w:t xml:space="preserve"> </w:t>
      </w:r>
      <w:r>
        <w:t xml:space="preserve">All dietitian protocols incorporate traditional Venezuelan foods. Example: Substituting expensive quinoa with locally abundant chia seeds for protein needs.</w:t>
      </w:r>
    </w:p>
    <w:p>
      <w:pPr>
        <w:numPr>
          <w:ilvl w:val="0"/>
          <w:numId w:val="1002"/>
        </w:numPr>
        <w:pStyle w:val="Compact"/>
      </w:pPr>
      <w:r>
        <w:rPr>
          <w:bCs/>
          <w:b/>
        </w:rPr>
        <w:t xml:space="preserve">Community Trust:</w:t>
      </w:r>
      <w:r>
        <w:t xml:space="preserve"> </w:t>
      </w:r>
      <w:r>
        <w:t xml:space="preserve">Partnerships with Caracas municipal clinics (e.g., Hospital Clínico Universitario) increased referral rates by 41%.</w:t>
      </w:r>
    </w:p>
    <w:p>
      <w:pPr>
        <w:numPr>
          <w:ilvl w:val="0"/>
          <w:numId w:val="1002"/>
        </w:numPr>
        <w:pStyle w:val="Compact"/>
      </w:pPr>
      <w:r>
        <w:rPr>
          <w:bCs/>
          <w:b/>
        </w:rPr>
        <w:t xml:space="preserve">Economic Adaptation:</w:t>
      </w:r>
      <w:r>
        <w:t xml:space="preserve"> </w:t>
      </w:r>
      <w:r>
        <w:t xml:space="preserve">Payment plans using bolivares at 50% of standard fees for families earning below $100/month.</w:t>
      </w:r>
    </w:p>
    <w:bookmarkEnd w:id="23"/>
    <w:bookmarkStart w:id="24" w:name="challenges-specific-to-venezuela-caracas"/>
    <w:p>
      <w:pPr>
        <w:pStyle w:val="Heading2"/>
      </w:pPr>
      <w:r>
        <w:t xml:space="preserve">Challenges Specific to Venezuela Caracas</w:t>
      </w:r>
    </w:p>
    <w:p>
      <w:pPr>
        <w:pStyle w:val="FirstParagraph"/>
      </w:pPr>
      <w:r>
        <w:t xml:space="preserve">While growth is strong, we face unique hurdles in Caracas:</w:t>
      </w:r>
    </w:p>
    <w:p>
      <w:pPr>
        <w:numPr>
          <w:ilvl w:val="0"/>
          <w:numId w:val="1003"/>
        </w:numPr>
        <w:pStyle w:val="Compact"/>
      </w:pPr>
      <w:r>
        <w:rPr>
          <w:bCs/>
          <w:b/>
        </w:rPr>
        <w:t xml:space="preserve">Currency Instability:</w:t>
      </w:r>
      <w:r>
        <w:t xml:space="preserve"> </w:t>
      </w:r>
      <w:r>
        <w:t xml:space="preserve">89% of sales are denominated in USD, causing client confusion during economic volatility.</w:t>
      </w:r>
    </w:p>
    <w:p>
      <w:pPr>
        <w:numPr>
          <w:ilvl w:val="0"/>
          <w:numId w:val="1003"/>
        </w:numPr>
        <w:pStyle w:val="Compact"/>
      </w:pPr>
      <w:r>
        <w:rPr>
          <w:bCs/>
          <w:b/>
        </w:rPr>
        <w:t xml:space="preserve">Supply Chain Disruptions:</w:t>
      </w:r>
      <w:r>
        <w:t xml:space="preserve"> </w:t>
      </w:r>
      <w:r>
        <w:t xml:space="preserve">Unpredictable access to essential supplements (e.g., vitamin D) delays 15% of specialized dietitian plans.</w:t>
      </w:r>
    </w:p>
    <w:p>
      <w:pPr>
        <w:numPr>
          <w:ilvl w:val="0"/>
          <w:numId w:val="1003"/>
        </w:numPr>
        <w:pStyle w:val="Compact"/>
      </w:pPr>
      <w:r>
        <w:rPr>
          <w:bCs/>
          <w:b/>
        </w:rPr>
        <w:t xml:space="preserve">Digital Divide:</w:t>
      </w:r>
      <w:r>
        <w:t xml:space="preserve"> </w:t>
      </w:r>
      <w:r>
        <w:t xml:space="preserve">Only 62% of Caracas households have reliable internet for virtual consultations, necessitating physical clinic expansion.</w:t>
      </w:r>
    </w:p>
    <w:bookmarkEnd w:id="24"/>
    <w:bookmarkStart w:id="25" w:name="Xe4c712492ab0a7c18782754f7d07c5ce8fc515f"/>
    <w:p>
      <w:pPr>
        <w:pStyle w:val="Heading2"/>
      </w:pPr>
      <w:r>
        <w:t xml:space="preserve">Sales Strategy Adjustments for Venezuela Caracas</w:t>
      </w:r>
    </w:p>
    <w:p>
      <w:pPr>
        <w:pStyle w:val="FirstParagraph"/>
      </w:pPr>
      <w:r>
        <w:t xml:space="preserve">To navigate Venezuela's complex market, we've implemented these critical changes:</w:t>
      </w:r>
    </w:p>
    <w:p>
      <w:pPr>
        <w:numPr>
          <w:ilvl w:val="0"/>
          <w:numId w:val="1004"/>
        </w:numPr>
        <w:pStyle w:val="Compact"/>
      </w:pPr>
      <w:r>
        <w:rPr>
          <w:bCs/>
          <w:b/>
        </w:rPr>
        <w:t xml:space="preserve">Localized Pricing Tiers:</w:t>
      </w:r>
      <w:r>
        <w:t xml:space="preserve"> </w:t>
      </w:r>
      <w:r>
        <w:t xml:space="preserve">Introduced a 3-tier fee structure based on household income levels (verified through community leaders).</w:t>
      </w:r>
    </w:p>
    <w:p>
      <w:pPr>
        <w:numPr>
          <w:ilvl w:val="0"/>
          <w:numId w:val="1004"/>
        </w:numPr>
        <w:pStyle w:val="Compact"/>
      </w:pPr>
      <w:r>
        <w:rPr>
          <w:bCs/>
          <w:b/>
        </w:rPr>
        <w:t xml:space="preserve">Barter System Pilot:</w:t>
      </w:r>
      <w:r>
        <w:t xml:space="preserve"> </w:t>
      </w:r>
      <w:r>
        <w:t xml:space="preserve">Partnering with local farmers for "food-for-services" (e.g., 10 sessions = 5kg of beans).</w:t>
      </w:r>
    </w:p>
    <w:bookmarkEnd w:id="25"/>
    <w:bookmarkStart w:id="26" w:name="financial-impact-future-outlook"/>
    <w:p>
      <w:pPr>
        <w:pStyle w:val="Heading2"/>
      </w:pPr>
      <w:r>
        <w:t xml:space="preserve">Financial Impact &amp; Future Outlook</w:t>
      </w:r>
    </w:p>
    <w:p>
      <w:pPr>
        <w:pStyle w:val="FirstParagraph"/>
      </w:pPr>
      <w:r>
        <w:t xml:space="preserve">Total revenue from Venezuela Caracas operations reached $18,450 in Q3 (up 44% YoY), with digital services accounting for 67% of income. Notably, our cost per client has decreased by 28% through optimized community-based models. This efficiency is critical for sustainability in Venezuela's economy.</w:t>
      </w:r>
    </w:p>
    <w:p>
      <w:pPr>
        <w:pStyle w:val="BodyText"/>
      </w:pPr>
      <w:r>
        <w:t xml:space="preserve">Looking ahead, we project a 50% increase in dietitian service adoption by Q1 2024 as public health campaigns intensify. The Caracas government has approved new funding for nutrition programs, creating a significant opportunity to expand our reach. Our sales forecast includes:</w:t>
      </w:r>
    </w:p>
    <w:p>
      <w:pPr>
        <w:numPr>
          <w:ilvl w:val="0"/>
          <w:numId w:val="1005"/>
        </w:numPr>
        <w:pStyle w:val="Compact"/>
      </w:pPr>
      <w:r>
        <w:t xml:space="preserve">Opening two new community clinics in Altamira and Los Caobos (November 2023)</w:t>
      </w:r>
    </w:p>
    <w:p>
      <w:pPr>
        <w:numPr>
          <w:ilvl w:val="0"/>
          <w:numId w:val="1005"/>
        </w:numPr>
        <w:pStyle w:val="Compact"/>
      </w:pPr>
      <w:r>
        <w:t xml:space="preserve">Launching a radio-based nutrition education program on Radio Caracas (December 2023)</w:t>
      </w:r>
    </w:p>
    <w:p>
      <w:pPr>
        <w:numPr>
          <w:ilvl w:val="0"/>
          <w:numId w:val="1005"/>
        </w:numPr>
        <w:pStyle w:val="Compact"/>
      </w:pPr>
      <w:r>
        <w:t xml:space="preserve">Training 50 community health workers as dietitian assistants</w:t>
      </w:r>
    </w:p>
    <w:bookmarkEnd w:id="26"/>
    <w:bookmarkStart w:id="27" w:name="X9293778e3e3e6e339b84d8535cf5a6632d7dc39"/>
    <w:p>
      <w:pPr>
        <w:pStyle w:val="Heading2"/>
      </w:pPr>
      <w:r>
        <w:t xml:space="preserve">Conclusion: The Imperative of Localized Dietitian Services</w:t>
      </w:r>
    </w:p>
    <w:p>
      <w:pPr>
        <w:pStyle w:val="FirstParagraph"/>
      </w:pPr>
      <w:r>
        <w:t xml:space="preserve">This Sales Report confirms that effective dietitian services in Venezuela Caracas must be culturally embedded, economically accessible, and community-driven. Our data shows that when nutritional guidance adapts to local realities—using affordable ingredients, leveraging public health infrastructure, and respecting economic constraints—the demand for these services becomes a powerful tool for public health intervention.</w:t>
      </w:r>
    </w:p>
    <w:p>
      <w:pPr>
        <w:pStyle w:val="BodyText"/>
      </w:pPr>
      <w:r>
        <w:t xml:space="preserve">As the most populous city in Venezuela with complex nutrition challenges, Caracas represents both the greatest challenge and opportunity. The 35% YoY growth in dietitian service adoption is not merely business success; it reflects Venezuelans' urgent need for trustworthy nutritional support. We remain committed to scaling our model across Venezuela Caracas, knowing that each meal plan provided directly addresses the nation's health crisis.</w:t>
      </w:r>
    </w:p>
    <w:p>
      <w:pPr>
        <w:pStyle w:val="BodyText"/>
      </w:pPr>
      <w:r>
        <w:t xml:space="preserve">For stakeholders investing in healthcare solutions within Venezuela, this report underscores a critical truth: Sustainable nutrition services in Caracas are not a luxury—they are an essential public good. The dietitian is no longer just a service provider; they have become frontline health educators adapting to one of the world's most complex food systems.</w:t>
      </w:r>
    </w:p>
    <w:p>
      <w:pPr>
        <w:pStyle w:val="BodyText"/>
      </w:pPr>
      <w:r>
        <w:rPr>
          <w:iCs/>
          <w:i/>
        </w:rPr>
        <w:t xml:space="preserve">Sales Report Prepared By: NutriVenezuela Health Analytics Unit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Venezuela Caracas</dc:title>
  <dc:creator/>
  <dc:language>en</dc:language>
  <cp:keywords/>
  <dcterms:created xsi:type="dcterms:W3CDTF">2026-07-23T17:24:15Z</dcterms:created>
  <dcterms:modified xsi:type="dcterms:W3CDTF">2026-07-23T17:24:15Z</dcterms:modified>
</cp:coreProperties>
</file>

<file path=docProps/custom.xml><?xml version="1.0" encoding="utf-8"?>
<Properties xmlns="http://schemas.openxmlformats.org/officeDocument/2006/custom-properties" xmlns:vt="http://schemas.openxmlformats.org/officeDocument/2006/docPropsVTypes"/>
</file>