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19e959cf2f1c109c2037eaf6bac83afcf3029eb"/>
    <w:p>
      <w:pPr>
        <w:pStyle w:val="Heading1"/>
      </w:pPr>
      <w:r>
        <w:t xml:space="preserve">Q3 2023 Sales Performance Report: Doctor General Practitioner Service Utilization in Argentina Buenos Aires</w:t>
      </w:r>
    </w:p>
    <w:bookmarkStart w:id="20" w:name="executive-summary"/>
    <w:p>
      <w:pPr>
        <w:pStyle w:val="Heading2"/>
      </w:pPr>
      <w:r>
        <w:t xml:space="preserve">Executive Summary</w:t>
      </w:r>
    </w:p>
    <w:p>
      <w:pPr>
        <w:pStyle w:val="FirstParagraph"/>
      </w:pPr>
      <w:r>
        <w:t xml:space="preserve">This comprehensive Sales Report analyzes the performance metrics, market dynamics, and strategic opportunities for Doctor General Practitioner (DGP) services within the healthcare ecosystem of Argentina Buenos Aires. As a cornerstone of primary care access across the city's diverse population, DGPs serve as critical first points of contact for patients navigating both public and private healthcare pathways. This report confirms sustained demand for DGP services, with a 12% year-over-year growth in patient consultations at 48,750 monthly encounters (Q3 2023 vs Q3 2022). Key drivers include population density in urban centers, ongoing reforms to Argentina's healthcare infrastructure under the "Salud Pública en Acción" initiative, and increasing patient preference for integrated care models offered by General Practitioners. The report underscores DGPs as indispensable assets within Buenos Aires' healthcare sales landscape.</w:t>
      </w:r>
    </w:p>
    <w:bookmarkEnd w:id="20"/>
    <w:bookmarkStart w:id="21" w:name="X3438406f7b5d58a24ca26fccd1b595c9a7d3604"/>
    <w:p>
      <w:pPr>
        <w:pStyle w:val="Heading2"/>
      </w:pPr>
      <w:r>
        <w:t xml:space="preserve">Market Context: Argentina Buenos Aires Healthcare Dynamics</w:t>
      </w:r>
    </w:p>
    <w:p>
      <w:pPr>
        <w:pStyle w:val="FirstParagraph"/>
      </w:pPr>
      <w:r>
        <w:t xml:space="preserve">Buenos Aires, Argentina's capital and most populous city (15.6 million residents), operates under a complex dual healthcare system. The public sector (Sistema Público de Salud) serves approximately 70% of the population through state hospitals and health centers, while the private sector (including Obras Sociales - social security plans, private insurance, and out-of-pocket payments) caters to the remaining 30%. Doctor General Practitioners form the essential frontline in both sectors. In Buenos Aires specifically, DGPs are uniquely positioned due to:</w:t>
      </w:r>
    </w:p>
    <w:p>
      <w:pPr>
        <w:numPr>
          <w:ilvl w:val="0"/>
          <w:numId w:val="1001"/>
        </w:numPr>
        <w:pStyle w:val="Compact"/>
      </w:pPr>
      <w:r>
        <w:t xml:space="preserve">High urban density requiring accessible primary care (e.g., Palermo, Villa Crespo, La Boca neighborhoods)</w:t>
      </w:r>
    </w:p>
    <w:p>
      <w:pPr>
        <w:numPr>
          <w:ilvl w:val="0"/>
          <w:numId w:val="1001"/>
        </w:numPr>
        <w:pStyle w:val="Compact"/>
      </w:pPr>
      <w:r>
        <w:t xml:space="preserve">The mandatory inclusion of General Practitioners within Obras Sociales networks under Argentina's National Healthcare Law (Ley 26.753)</w:t>
      </w:r>
    </w:p>
    <w:p>
      <w:pPr>
        <w:numPr>
          <w:ilvl w:val="0"/>
          <w:numId w:val="1001"/>
        </w:numPr>
        <w:pStyle w:val="Compact"/>
      </w:pPr>
      <w:r>
        <w:t xml:space="preserve">Chronic understaffing in public hospitals driving patients toward private DGP clinics</w:t>
      </w:r>
    </w:p>
    <w:bookmarkEnd w:id="21"/>
    <w:bookmarkStart w:id="22" w:name="X7a747e3c357e7ca6bc78d2a6756c779eca4c83e"/>
    <w:p>
      <w:pPr>
        <w:pStyle w:val="Heading2"/>
      </w:pPr>
      <w:r>
        <w:t xml:space="preserve">Q3 2023 Performance Metrics: Key Sales Indicators</w:t>
      </w:r>
    </w:p>
    <w:p>
      <w:pPr>
        <w:pStyle w:val="FirstParagraph"/>
      </w:pPr>
      <w:r>
        <w:t xml:space="preserve">The following metrics quantify the operational and financial performance of Doctor General Practitioner service delivery across Buenos Aires:</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Patient Consultations (Monthly Avg.)</w:t>
      </w:r>
    </w:p>
    <w:p>
      <w:pPr>
        <w:pStyle w:val="BodyText"/>
      </w:pPr>
      <w:r>
        <w:t xml:space="preserve">48,750</w:t>
      </w:r>
    </w:p>
    <w:p>
      <w:pPr>
        <w:pStyle w:val="BodyText"/>
      </w:pPr>
      <w:r>
        <w:t xml:space="preserve">+12.1%</w:t>
      </w:r>
    </w:p>
    <w:p>
      <w:pPr>
        <w:pStyle w:val="BodyText"/>
      </w:pPr>
      <w:r>
        <w:t xml:space="preserve">43,500</w:t>
      </w:r>
    </w:p>
    <w:p>
      <w:pPr>
        <w:pStyle w:val="BodyText"/>
      </w:pPr>
      <w:r>
        <w:t xml:space="preserve">Average Revenue per Consultation (ARS)</w:t>
      </w:r>
    </w:p>
    <w:p>
      <w:pPr>
        <w:pStyle w:val="BodyText"/>
      </w:pPr>
      <w:r>
        <w:t xml:space="preserve">2,850</w:t>
      </w:r>
    </w:p>
    <w:p>
      <w:pPr>
        <w:pStyle w:val="BodyText"/>
      </w:pPr>
      <w:r>
        <w:t xml:space="preserve">+5.3%2,700</w:t>
      </w:r>
    </w:p>
    <w:p>
      <w:pPr>
        <w:pStyle w:val="BodyText"/>
      </w:pPr>
      <w:r>
        <w:t xml:space="preserve">Patient Retention Rate (%)</w:t>
      </w:r>
    </w:p>
    <w:p>
      <w:pPr>
        <w:pStyle w:val="BodyText"/>
      </w:pPr>
      <w:r>
        <w:t xml:space="preserve">74.6%</w:t>
      </w:r>
    </w:p>
    <w:p>
      <w:pPr>
        <w:pStyle w:val="BodyText"/>
      </w:pPr>
      <w:r>
        <w:t xml:space="preserve">+8.2% pts</w:t>
      </w:r>
    </w:p>
    <w:p>
      <w:pPr>
        <w:pStyle w:val="BodyText"/>
      </w:pPr>
      <w:r>
        <w:t xml:space="preserve">66.4%</w:t>
      </w:r>
    </w:p>
    <w:p>
      <w:pPr>
        <w:pStyle w:val="BodyText"/>
      </w:pPr>
      <w:r>
        <w:t xml:space="preserve">New Patient Acquisitions (Monthly)</w:t>
      </w:r>
    </w:p>
    <w:p>
      <w:pPr>
        <w:pStyle w:val="BodyText"/>
      </w:pPr>
      <w:r>
        <w:t xml:space="preserve">1,920+15.7%1,650</w:t>
      </w:r>
    </w:p>
    <w:p>
      <w:pPr>
        <w:pStyle w:val="BodyText"/>
      </w:pPr>
      <w:r>
        <w:t xml:space="preserve">Clinic Utilization Rate (%)</w:t>
      </w:r>
    </w:p>
    <w:p>
      <w:pPr>
        <w:pStyle w:val="BodyText"/>
      </w:pPr>
      <w:r>
        <w:t xml:space="preserve">88.3%</w:t>
      </w:r>
    </w:p>
    <w:p>
      <w:pPr>
        <w:pStyle w:val="BodyText"/>
      </w:pPr>
      <w:r>
        <w:t xml:space="preserve">+7.5% pts</w:t>
      </w:r>
    </w:p>
    <w:p>
      <w:pPr>
        <w:pStyle w:val="BodyText"/>
      </w:pPr>
      <w:r>
        <w:t xml:space="preserve">80.8%</w:t>
      </w:r>
    </w:p>
    <w:bookmarkEnd w:id="22"/>
    <w:bookmarkStart w:id="23" w:name="Xec694c09fa07aadf87153c83a23da90a019c773"/>
    <w:p>
      <w:pPr>
        <w:pStyle w:val="Heading2"/>
      </w:pPr>
      <w:r>
        <w:t xml:space="preserve">Regional Sales Breakdown: Buenos Aires Districts</w:t>
      </w:r>
    </w:p>
    <w:p>
      <w:pPr>
        <w:pStyle w:val="FirstParagraph"/>
      </w:pPr>
      <w:r>
        <w:t xml:space="preserve">Sales performance varies significantly across Buenos Aires districts, reflecting socioeconomic and infrastructure disparities:</w:t>
      </w:r>
    </w:p>
    <w:p>
      <w:pPr>
        <w:numPr>
          <w:ilvl w:val="0"/>
          <w:numId w:val="1002"/>
        </w:numPr>
        <w:pStyle w:val="Compact"/>
      </w:pPr>
      <w:r>
        <w:rPr>
          <w:bCs/>
          <w:b/>
        </w:rPr>
        <w:t xml:space="preserve">Central &amp; North (Palermo, Caballito):</w:t>
      </w:r>
      <w:r>
        <w:t xml:space="preserve"> </w:t>
      </w:r>
      <w:r>
        <w:t xml:space="preserve">Highest revenue per consultation (ARS 3,500) driven by private insurance/upper-middle class patients. 68% of total sales volume.</w:t>
      </w:r>
    </w:p>
    <w:p>
      <w:pPr>
        <w:numPr>
          <w:ilvl w:val="0"/>
          <w:numId w:val="1002"/>
        </w:numPr>
        <w:pStyle w:val="Compact"/>
      </w:pPr>
      <w:r>
        <w:rPr>
          <w:bCs/>
          <w:b/>
        </w:rPr>
        <w:t xml:space="preserve">Middle Belt (Villa Crespo, Belgrano):</w:t>
      </w:r>
      <w:r>
        <w:t xml:space="preserve"> </w:t>
      </w:r>
      <w:r>
        <w:t xml:space="preserve">Strong Obras Sociales penetration. Highest patient retention (79%) due to established community trust in local DGPs.</w:t>
      </w:r>
    </w:p>
    <w:p>
      <w:pPr>
        <w:numPr>
          <w:ilvl w:val="0"/>
          <w:numId w:val="1002"/>
        </w:numPr>
        <w:pStyle w:val="Compact"/>
      </w:pPr>
      <w:r>
        <w:rPr>
          <w:bCs/>
          <w:b/>
        </w:rPr>
        <w:t xml:space="preserve">South &amp; Periphery (Villa Soldati, La Matanza):</w:t>
      </w:r>
      <w:r>
        <w:t xml:space="preserve"> </w:t>
      </w:r>
      <w:r>
        <w:t xml:space="preserve">Growth engine (+18% YoY) with public sector referrals. Lower avg revenue (ARS 2,100), but critical for market expansion strategy.</w:t>
      </w:r>
    </w:p>
    <w:bookmarkEnd w:id="23"/>
    <w:bookmarkStart w:id="24" w:name="Xc8edf854a286ffb3f381c7ef2ff0fd76c263589"/>
    <w:p>
      <w:pPr>
        <w:pStyle w:val="Heading2"/>
      </w:pPr>
      <w:r>
        <w:t xml:space="preserve">Strategic Analysis: Drivers of Sales Success in Buenos Aires</w:t>
      </w:r>
    </w:p>
    <w:p>
      <w:pPr>
        <w:pStyle w:val="FirstParagraph"/>
      </w:pPr>
      <w:r>
        <w:t xml:space="preserve">The remarkable performance of Doctor General Practitioner services in Argentina's capital stems from three interconnected factors:</w:t>
      </w:r>
    </w:p>
    <w:p>
      <w:pPr>
        <w:numPr>
          <w:ilvl w:val="0"/>
          <w:numId w:val="1003"/>
        </w:numPr>
        <w:pStyle w:val="Compact"/>
      </w:pPr>
      <w:r>
        <w:rPr>
          <w:bCs/>
          <w:b/>
        </w:rPr>
        <w:t xml:space="preserve">Systemic Healthcare Demand:</w:t>
      </w:r>
      <w:r>
        <w:t xml:space="preserve"> </w:t>
      </w:r>
      <w:r>
        <w:t xml:space="preserve">Argentina’s public health system faces chronic underfunding (only 8.2% of GDP spent on healthcare vs. OECD average 9.6%). This forces patients to seek timely care through private DGP networks, creating sustained demand.</w:t>
      </w:r>
    </w:p>
    <w:p>
      <w:pPr>
        <w:numPr>
          <w:ilvl w:val="0"/>
          <w:numId w:val="1003"/>
        </w:numPr>
        <w:pStyle w:val="Compact"/>
      </w:pPr>
      <w:r>
        <w:rPr>
          <w:bCs/>
          <w:b/>
        </w:rPr>
        <w:t xml:space="preserve">Regulatory Alignment:</w:t>
      </w:r>
      <w:r>
        <w:t xml:space="preserve"> </w:t>
      </w:r>
      <w:r>
        <w:t xml:space="preserve">Argentina's Ministry of Health (Ministerio de Salud de la Nación) mandates that all Obras Sociales contract DGP services as primary care providers. This creates a guaranteed sales pipeline across 12 major health plans operating in Buenos Aires.</w:t>
      </w:r>
    </w:p>
    <w:p>
      <w:pPr>
        <w:numPr>
          <w:ilvl w:val="0"/>
          <w:numId w:val="1003"/>
        </w:numPr>
        <w:pStyle w:val="Compact"/>
      </w:pPr>
      <w:r>
        <w:rPr>
          <w:bCs/>
          <w:b/>
        </w:rPr>
        <w:t xml:space="preserve">Community Integration:</w:t>
      </w:r>
      <w:r>
        <w:t xml:space="preserve"> </w:t>
      </w:r>
      <w:r>
        <w:t xml:space="preserve">Successful DGPs in Buenos Aires excel at building neighborhood-level trust – crucial for patient retention. Clinics offering extended hours (e.g., 7am-8pm), telehealth for remote areas, and cultural competency (e.g., Spanish-Portuguese bilingual staff) see 3x higher retention.</w:t>
      </w:r>
    </w:p>
    <w:bookmarkEnd w:id="24"/>
    <w:bookmarkStart w:id="25" w:name="challenges-impacting-sales-performance"/>
    <w:p>
      <w:pPr>
        <w:pStyle w:val="Heading2"/>
      </w:pPr>
      <w:r>
        <w:t xml:space="preserve">Challenges Impacting Sales Performance</w:t>
      </w:r>
    </w:p>
    <w:p>
      <w:pPr>
        <w:pStyle w:val="FirstParagraph"/>
      </w:pPr>
      <w:r>
        <w:t xml:space="preserve">Despite growth, significant challenges hinder optimal sales performance for Doctor General Practitioner services in Argentina Buenos Aires:</w:t>
      </w:r>
    </w:p>
    <w:p>
      <w:pPr>
        <w:numPr>
          <w:ilvl w:val="0"/>
          <w:numId w:val="1004"/>
        </w:numPr>
        <w:pStyle w:val="Compact"/>
      </w:pPr>
      <w:r>
        <w:rPr>
          <w:bCs/>
          <w:b/>
        </w:rPr>
        <w:t xml:space="preserve">Regulatory Complexity:</w:t>
      </w:r>
      <w:r>
        <w:t xml:space="preserve"> </w:t>
      </w:r>
      <w:r>
        <w:t xml:space="preserve">Billing through Obras Sociales requires navigating 14 different plan-specific forms (vs. 3 in private sector), causing average 12-day payment delays that strain clinic cash flow.</w:t>
      </w:r>
    </w:p>
    <w:p>
      <w:pPr>
        <w:numPr>
          <w:ilvl w:val="0"/>
          <w:numId w:val="1004"/>
        </w:numPr>
        <w:pStyle w:val="Compact"/>
      </w:pPr>
      <w:r>
        <w:rPr>
          <w:bCs/>
          <w:b/>
        </w:rPr>
        <w:t xml:space="preserve">Provider Shortages:</w:t>
      </w:r>
      <w:r>
        <w:t xml:space="preserve"> </w:t>
      </w:r>
      <w:r>
        <w:t xml:space="preserve">Buenos Aires faces a deficit of 8,000 DGPs (per Cámara Médica Argentina). This limits capacity to meet demand, particularly in periphery districts like Flores and Barracas.</w:t>
      </w:r>
    </w:p>
    <w:p>
      <w:pPr>
        <w:numPr>
          <w:ilvl w:val="0"/>
          <w:numId w:val="1004"/>
        </w:numPr>
        <w:pStyle w:val="Compact"/>
      </w:pPr>
      <w:r>
        <w:rPr>
          <w:bCs/>
          <w:b/>
        </w:rPr>
        <w:t xml:space="preserve">Inflation Impact:</w:t>
      </w:r>
      <w:r>
        <w:t xml:space="preserve"> </w:t>
      </w:r>
      <w:r>
        <w:t xml:space="preserve">154% annual inflation (2023) erodes patient purchasing power for out-of-pocket consultations, requiring strategic pricing adjustments that affect margin stability.</w:t>
      </w:r>
    </w:p>
    <w:bookmarkEnd w:id="25"/>
    <w:bookmarkStart w:id="26" w:name="strategic-recommendations-for-q4-2023"/>
    <w:p>
      <w:pPr>
        <w:pStyle w:val="Heading2"/>
      </w:pPr>
      <w:r>
        <w:t xml:space="preserve">Strategic Recommendations for Q4 2023</w:t>
      </w:r>
    </w:p>
    <w:p>
      <w:pPr>
        <w:pStyle w:val="FirstParagraph"/>
      </w:pPr>
      <w:r>
        <w:t xml:space="preserve">To capitalize on Argentina Buenos Aires' dynamic healthcare market, the following actions are recommended:</w:t>
      </w:r>
    </w:p>
    <w:p>
      <w:pPr>
        <w:numPr>
          <w:ilvl w:val="0"/>
          <w:numId w:val="1005"/>
        </w:numPr>
        <w:pStyle w:val="Compact"/>
      </w:pPr>
      <w:r>
        <w:rPr>
          <w:bCs/>
          <w:b/>
        </w:rPr>
        <w:t xml:space="preserve">Expand Telehealth Integration:</w:t>
      </w:r>
      <w:r>
        <w:t xml:space="preserve"> </w:t>
      </w:r>
      <w:r>
        <w:t xml:space="preserve">Partner with local tech startups (e.g., "MediApp" based in Palermo) to offer subsidized virtual check-ins for Obras Sociales patients, targeting 25% of new consultations.</w:t>
      </w:r>
    </w:p>
    <w:p>
      <w:pPr>
        <w:numPr>
          <w:ilvl w:val="0"/>
          <w:numId w:val="1005"/>
        </w:numPr>
        <w:pStyle w:val="Compact"/>
      </w:pPr>
      <w:r>
        <w:rPr>
          <w:bCs/>
          <w:b/>
        </w:rPr>
        <w:t xml:space="preserve">Negotiate Bulk Billing Agreements:</w:t>
      </w:r>
      <w:r>
        <w:t xml:space="preserve"> </w:t>
      </w:r>
      <w:r>
        <w:t xml:space="preserve">Consolidate contracts with top 3 Obras Sociales (OSECAC, OSDE, Ameg) to streamline billing and reduce payment cycles by 50%.</w:t>
      </w:r>
    </w:p>
    <w:p>
      <w:pPr>
        <w:numPr>
          <w:ilvl w:val="0"/>
          <w:numId w:val="1005"/>
        </w:numPr>
        <w:pStyle w:val="Compact"/>
      </w:pPr>
      <w:r>
        <w:rPr>
          <w:bCs/>
          <w:b/>
        </w:rPr>
        <w:t xml:space="preserve">Periphery Clinic Expansion:</w:t>
      </w:r>
      <w:r>
        <w:t xml:space="preserve"> </w:t>
      </w:r>
      <w:r>
        <w:t xml:space="preserve">Open two new DGP clinics in La Matanza and Parque Patricios by Q1 2024, targeting the underserved 28% population growth in these districts.</w:t>
      </w:r>
    </w:p>
    <w:p>
      <w:pPr>
        <w:numPr>
          <w:ilvl w:val="0"/>
          <w:numId w:val="1005"/>
        </w:numPr>
        <w:pStyle w:val="Compact"/>
      </w:pPr>
      <w:r>
        <w:rPr>
          <w:bCs/>
          <w:b/>
        </w:rPr>
        <w:t xml:space="preserve">Patient Loyalty Program:</w:t>
      </w:r>
      <w:r>
        <w:t xml:space="preserve"> </w:t>
      </w:r>
      <w:r>
        <w:t xml:space="preserve">Launch "Cuidado Integral" – a points-based system rewarding repeat visits with free preventive screenings (e.g., annual blood tests), expected to boost retention by 10%.</w:t>
      </w:r>
    </w:p>
    <w:bookmarkEnd w:id="26"/>
    <w:bookmarkStart w:id="27" w:name="X34c28395debcba49d063c981438098513974723"/>
    <w:p>
      <w:pPr>
        <w:pStyle w:val="Heading2"/>
      </w:pPr>
      <w:r>
        <w:t xml:space="preserve">Conclusion: The Indispensable Role of Doctor General Practitioner in Buenos Aires</w:t>
      </w:r>
    </w:p>
    <w:p>
      <w:pPr>
        <w:pStyle w:val="FirstParagraph"/>
      </w:pPr>
      <w:r>
        <w:t xml:space="preserve">The Q3 2023 Sales Report unequivocally demonstrates that Doctor General Practitioner services are not merely a revenue stream but the operational backbone of primary care access in Argentina Buenos Aires. With patient volumes surging and retention rates reaching historic highs, DGPs represent the most scalable solution to address Argentina's healthcare access gaps within urban centers. As Buenos Aires continues its transformation under national health policies prioritizing primary care, the strategic investment in Doctor General Practitioner networks will directly correlate with sustained revenue growth and community health outcomes. The data confirms that for providers operating within Argentina Buenos Aires, excelling as a Doctor General Practitioner is no longer optional – it's the fundamental catalyst for market success.</w:t>
      </w:r>
    </w:p>
    <w:p>
      <w:pPr>
        <w:pStyle w:val="BodyText"/>
      </w:pPr>
      <w:r>
        <w:rPr>
          <w:iCs/>
          <w:i/>
        </w:rPr>
        <w:t xml:space="preserve">Prepared by: Healthcare Strategy Division - Argentina</w:t>
      </w:r>
    </w:p>
    <w:p>
      <w:pPr>
        <w:pStyle w:val="BodyText"/>
      </w:pPr>
      <w:r>
        <w:rPr>
          <w:iCs/>
          <w:i/>
        </w:rPr>
        <w:t xml:space="preserve">Date: October 26, 2023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Doctor General Practitioner Services - Argentina Buenos Aires</dc:title>
  <dc:creator/>
  <dc:language>en</dc:language>
  <cp:keywords/>
  <dcterms:created xsi:type="dcterms:W3CDTF">2025-12-10T14:57:41Z</dcterms:created>
  <dcterms:modified xsi:type="dcterms:W3CDTF">2025-12-10T14:57:41Z</dcterms:modified>
</cp:coreProperties>
</file>

<file path=docProps/custom.xml><?xml version="1.0" encoding="utf-8"?>
<Properties xmlns="http://schemas.openxmlformats.org/officeDocument/2006/custom-properties" xmlns:vt="http://schemas.openxmlformats.org/officeDocument/2006/docPropsVTypes"/>
</file>