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a883a1794570a3a22f72224275313168737fef1"/>
    <w:p>
      <w:pPr>
        <w:pStyle w:val="Heading1"/>
      </w:pPr>
      <w:r>
        <w:t xml:space="preserve">Quarterly Sales Performance Report: Doctor General Practitioner Services in Argentina Córdoba (Q3 2023)</w:t>
      </w:r>
    </w:p>
    <w:p>
      <w:pPr>
        <w:pStyle w:val="FirstParagraph"/>
      </w:pPr>
      <w:r>
        <w:rPr>
          <w:bCs/>
          <w:b/>
        </w:rPr>
        <w:t xml:space="preserve">Prepared For:</w:t>
      </w:r>
      <w:r>
        <w:t xml:space="preserve"> </w:t>
      </w:r>
      <w:r>
        <w:t xml:space="preserve">Healthcare Operations Management, Córdoba Regional Office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quarterly sales report details the performance of Doctor General Practitioner (GP) services across the Córdoba province in Argentina. Despite macroeconomic challenges and evolving healthcare regulations, our GP practice network achieved a 12% year-over-year increase in patient consultations and a 9% growth in revenue generation. The report identifies key drivers of success—including strategic partnerships with local clinics, targeted telehealth expansion, and alignment with Córdoba's public health priorities—and outlines actionable recommendations to sustain growth. Notably, the demand for comprehensive primary care services remains exceptionally high in Argentina’s second-largest urban center, positioning GPs as indispensable within the regional healthcare ecosystem.</w:t>
      </w:r>
    </w:p>
    <w:bookmarkEnd w:id="20"/>
    <w:bookmarkStart w:id="21" w:name="Xc5ffac89190bac86d9c8befab9603a36fcb3b1e"/>
    <w:p>
      <w:pPr>
        <w:pStyle w:val="Heading2"/>
      </w:pPr>
      <w:r>
        <w:t xml:space="preserve">Market Analysis: Argentina Córdoba Context</w:t>
      </w:r>
    </w:p>
    <w:p>
      <w:pPr>
        <w:pStyle w:val="FirstParagraph"/>
      </w:pPr>
      <w:r>
        <w:t xml:space="preserve">Córdoba province (population: ~3.4 million) presents a unique healthcare landscape where public and private sectors intersect. As Argentina’s leading industrial hub, Córdoba faces rising demand for accessible primary care due to an aging population (18% over 65 years), increased prevalence of chronic conditions like diabetes (12% of adults), and urban migration patterns. Public health infrastructure, while extensive through the Ministry of Health, experiences resource constraints—particularly in rural districts. This gap has amplified opportunities for private Doctor General Practitioner services to complement state-provided care under Argentina’s mixed healthcare model.</w:t>
      </w:r>
    </w:p>
    <w:p>
      <w:pPr>
        <w:pStyle w:val="BodyText"/>
      </w:pPr>
      <w:r>
        <w:t xml:space="preserve">Key market indicators for Q3 2023 include: (1) A 7% rise in GP consultation requests citywide, (2) Strong patient retention rates of 84% among existing clients, and (3) Surge in telemedicine utilization (+45% YoY), driven by Córdoba’s improved digital infrastructure. Competition remains moderate but intensifying as new private clinics enter the market; however, our GP network’s established reputation for holistic care and bilingual (Spanish/English) service continues to differentiate us.</w:t>
      </w:r>
    </w:p>
    <w:bookmarkEnd w:id="21"/>
    <w:bookmarkStart w:id="22" w:name="sales-performance-metrics"/>
    <w:p>
      <w:pPr>
        <w:pStyle w:val="Heading2"/>
      </w:pPr>
      <w:r>
        <w:t xml:space="preserve">Sales Performance Metrics</w:t>
      </w:r>
    </w:p>
    <w:p>
      <w:pPr>
        <w:pStyle w:val="FirstParagraph"/>
      </w:pPr>
      <w:r>
        <w:rPr>
          <w:bCs/>
          <w:b/>
        </w:rPr>
        <w:t xml:space="preserve">Consultation Volumes:</w:t>
      </w:r>
      <w:r>
        <w:t xml:space="preserve"> </w:t>
      </w:r>
      <w:r>
        <w:t xml:space="preserve">Total patient visits reached 8,750 in Q3—up 15% from Q2. This includes:</w:t>
      </w:r>
    </w:p>
    <w:p>
      <w:pPr>
        <w:numPr>
          <w:ilvl w:val="0"/>
          <w:numId w:val="1001"/>
        </w:numPr>
        <w:pStyle w:val="Compact"/>
      </w:pPr>
      <w:r>
        <w:t xml:space="preserve">6,100 in-person consultations (8% increase from prior quarter)</w:t>
      </w:r>
    </w:p>
    <w:p>
      <w:pPr>
        <w:numPr>
          <w:ilvl w:val="0"/>
          <w:numId w:val="1001"/>
        </w:numPr>
        <w:pStyle w:val="Compact"/>
      </w:pPr>
      <w:r>
        <w:t xml:space="preserve">2,650 virtual telehealth sessions (a 32% jump, reflecting pandemic-era habit persistence)</w:t>
      </w:r>
    </w:p>
    <w:p>
      <w:pPr>
        <w:pStyle w:val="FirstParagraph"/>
      </w:pPr>
      <w:r>
        <w:rPr>
          <w:bCs/>
          <w:b/>
        </w:rPr>
        <w:t xml:space="preserve">Revenue Generation:</w:t>
      </w:r>
      <w:r>
        <w:t xml:space="preserve"> </w:t>
      </w:r>
      <w:r>
        <w:t xml:space="preserve">Total revenue: $142,800 USD equivalent (≈$1.7M ARS). Breakdown:</w:t>
      </w:r>
    </w:p>
    <w:p>
      <w:pPr>
        <w:numPr>
          <w:ilvl w:val="0"/>
          <w:numId w:val="1002"/>
        </w:numPr>
        <w:pStyle w:val="Compact"/>
      </w:pPr>
      <w:r>
        <w:t xml:space="preserve">In-person consultations: $98,650 (69% of total)</w:t>
      </w:r>
    </w:p>
    <w:p>
      <w:pPr>
        <w:numPr>
          <w:ilvl w:val="0"/>
          <w:numId w:val="1002"/>
        </w:numPr>
        <w:pStyle w:val="Compact"/>
      </w:pPr>
      <w:r>
        <w:t xml:space="preserve">Telehealth services: $34,550 (24% of total)</w:t>
      </w:r>
    </w:p>
    <w:p>
      <w:pPr>
        <w:numPr>
          <w:ilvl w:val="0"/>
          <w:numId w:val="1002"/>
        </w:numPr>
        <w:pStyle w:val="Compact"/>
      </w:pPr>
      <w:r>
        <w:t xml:space="preserve">Preventive care packages (vaccinations, annual check-ups): $8,700 (6% of total)</w:t>
      </w:r>
    </w:p>
    <w:p>
      <w:pPr>
        <w:numPr>
          <w:ilvl w:val="0"/>
          <w:numId w:val="1002"/>
        </w:numPr>
        <w:pStyle w:val="Compact"/>
      </w:pPr>
      <w:r>
        <w:t xml:space="preserve">Additional services (nutrition counseling, chronic disease management): $11,900 (8% of total)</w:t>
      </w:r>
    </w:p>
    <w:p>
      <w:pPr>
        <w:pStyle w:val="FirstParagraph"/>
      </w:pPr>
      <w:r>
        <w:rPr>
          <w:bCs/>
          <w:b/>
        </w:rPr>
        <w:t xml:space="preserve">Client Acquisition &amp; Retention:</w:t>
      </w:r>
    </w:p>
    <w:p>
      <w:pPr>
        <w:numPr>
          <w:ilvl w:val="0"/>
          <w:numId w:val="1003"/>
        </w:numPr>
        <w:pStyle w:val="Compact"/>
      </w:pPr>
      <w:r>
        <w:t xml:space="preserve">New patient sign-ups: 420 (+22% YoY), primarily from referrals via public health centers in Córdoba City and Villa María</w:t>
      </w:r>
    </w:p>
    <w:p>
      <w:pPr>
        <w:numPr>
          <w:ilvl w:val="0"/>
          <w:numId w:val="1003"/>
        </w:numPr>
        <w:pStyle w:val="Compact"/>
      </w:pPr>
      <w:r>
        <w:t xml:space="preserve">Patient retention rate: 84% (exceeding regional average of 76%)</w:t>
      </w:r>
    </w:p>
    <w:p>
      <w:pPr>
        <w:numPr>
          <w:ilvl w:val="0"/>
          <w:numId w:val="1003"/>
        </w:numPr>
        <w:pStyle w:val="Compact"/>
      </w:pPr>
      <w:r>
        <w:t xml:space="preserve">Key growth driver: Collaborations with 15 local private clinics under Argentina’s "Atención Primaria Integrada" initiative, enabling seamless patient referrals</w:t>
      </w:r>
    </w:p>
    <w:bookmarkEnd w:id="22"/>
    <w:bookmarkStart w:id="23" w:name="Xb96a6da4ca5a35f97e2b14c80864f7e483e8d43"/>
    <w:p>
      <w:pPr>
        <w:pStyle w:val="Heading2"/>
      </w:pPr>
      <w:r>
        <w:t xml:space="preserve">Challenges &amp; Regional Context in Argentina Córdoba</w:t>
      </w:r>
    </w:p>
    <w:p>
      <w:pPr>
        <w:pStyle w:val="FirstParagraph"/>
      </w:pPr>
      <w:r>
        <w:t xml:space="preserve">Despite strong performance, our sales team encountered challenges unique to the Córdoba market:</w:t>
      </w:r>
    </w:p>
    <w:p>
      <w:pPr>
        <w:numPr>
          <w:ilvl w:val="0"/>
          <w:numId w:val="1004"/>
        </w:numPr>
        <w:pStyle w:val="Compact"/>
      </w:pPr>
      <w:r>
        <w:rPr>
          <w:bCs/>
          <w:b/>
        </w:rPr>
        <w:t xml:space="preserve">Reimbursement Delays:</w:t>
      </w:r>
      <w:r>
        <w:t xml:space="preserve"> </w:t>
      </w:r>
      <w:r>
        <w:t xml:space="preserve">Public health insurance (PAMI) payments for GP services were delayed by 35–45 days on average—impacting cash flow. This is a common issue across Argentina, but particularly acute in Córdoba due to high patient volumes from rural areas.</w:t>
      </w:r>
    </w:p>
    <w:p>
      <w:pPr>
        <w:numPr>
          <w:ilvl w:val="0"/>
          <w:numId w:val="1004"/>
        </w:numPr>
        <w:pStyle w:val="Compact"/>
      </w:pPr>
      <w:r>
        <w:rPr>
          <w:bCs/>
          <w:b/>
        </w:rPr>
        <w:t xml:space="preserve">Competition in Urban Centers:</w:t>
      </w:r>
      <w:r>
        <w:t xml:space="preserve"> </w:t>
      </w:r>
      <w:r>
        <w:t xml:space="preserve">High visibility of new GP clinics near universities (e.g., UNC Campus) led to price-sensitive client negotiations. Our response included value-based pricing for bundled chronic care packages.</w:t>
      </w:r>
    </w:p>
    <w:p>
      <w:pPr>
        <w:numPr>
          <w:ilvl w:val="0"/>
          <w:numId w:val="1004"/>
        </w:numPr>
        <w:pStyle w:val="Compact"/>
      </w:pPr>
      <w:r>
        <w:rPr>
          <w:bCs/>
          <w:b/>
        </w:rPr>
        <w:t xml:space="preserve">Cultural Nuances:</w:t>
      </w:r>
      <w:r>
        <w:t xml:space="preserve"> </w:t>
      </w:r>
      <w:r>
        <w:t xml:space="preserve">Argentine patients often prioritize long-term doctor-patient relationships over cost. This necessitated personalized follow-up protocols—e.g., 24-hour response time for patient inquiries—which increased operational costs by 7% but boosted retention.</w:t>
      </w:r>
    </w:p>
    <w:bookmarkEnd w:id="23"/>
    <w:bookmarkStart w:id="24" w:name="strategic-recommendations-for-growth"/>
    <w:p>
      <w:pPr>
        <w:pStyle w:val="Heading2"/>
      </w:pPr>
      <w:r>
        <w:t xml:space="preserve">Strategic Recommendations for Growth</w:t>
      </w:r>
    </w:p>
    <w:p>
      <w:pPr>
        <w:pStyle w:val="FirstParagraph"/>
      </w:pPr>
      <w:r>
        <w:t xml:space="preserve">To capitalize on Córdoba’s healthcare demand, we propose the following region-specific actions:</w:t>
      </w:r>
    </w:p>
    <w:p>
      <w:pPr>
        <w:numPr>
          <w:ilvl w:val="0"/>
          <w:numId w:val="1005"/>
        </w:numPr>
        <w:pStyle w:val="Compact"/>
      </w:pPr>
      <w:r>
        <w:rPr>
          <w:bCs/>
          <w:b/>
        </w:rPr>
        <w:t xml:space="preserve">Expand Rural Telehealth Outreach:</w:t>
      </w:r>
      <w:r>
        <w:t xml:space="preserve"> </w:t>
      </w:r>
      <w:r>
        <w:t xml:space="preserve">Partner with Córdoba’s Ministry of Health to deploy mobile health units offering telemedicine access in underserved zones (e.g., Punilla Valley). Initial pilot targeting 500 rural patients could capture 30% market share in these areas by Q2 2024.</w:t>
      </w:r>
    </w:p>
    <w:p>
      <w:pPr>
        <w:numPr>
          <w:ilvl w:val="0"/>
          <w:numId w:val="1005"/>
        </w:numPr>
        <w:pStyle w:val="Compact"/>
      </w:pPr>
      <w:r>
        <w:rPr>
          <w:bCs/>
          <w:b/>
        </w:rPr>
        <w:t xml:space="preserve">Customize Preventive Care Packages:</w:t>
      </w:r>
      <w:r>
        <w:t xml:space="preserve"> </w:t>
      </w:r>
      <w:r>
        <w:t xml:space="preserve">Develop culturally resonant programs addressing local health priorities—e.g., "Diabetes Management for Córdoba Families" incorporating regional dietary habits (emphasizing native legumes like quinoa) and community workshops in Spanish.</w:t>
      </w:r>
    </w:p>
    <w:p>
      <w:pPr>
        <w:numPr>
          <w:ilvl w:val="0"/>
          <w:numId w:val="1005"/>
        </w:numPr>
        <w:pStyle w:val="Compact"/>
      </w:pPr>
      <w:r>
        <w:rPr>
          <w:bCs/>
          <w:b/>
        </w:rPr>
        <w:t xml:space="preserve">Leverage University Partnerships:</w:t>
      </w:r>
      <w:r>
        <w:t xml:space="preserve"> </w:t>
      </w:r>
      <w:r>
        <w:t xml:space="preserve">Formalize agreements with Universidad Nacional de Córdoba (UNC) to offer student health services at subsidized rates. This targets a high-demand demographic (150,000 students) and builds long-term patient loyalty.</w:t>
      </w:r>
    </w:p>
    <w:p>
      <w:pPr>
        <w:numPr>
          <w:ilvl w:val="0"/>
          <w:numId w:val="1005"/>
        </w:numPr>
        <w:pStyle w:val="Compact"/>
      </w:pPr>
      <w:r>
        <w:rPr>
          <w:bCs/>
          <w:b/>
        </w:rPr>
        <w:t xml:space="preserve">Negotiate PAMI Payment Acceleration:</w:t>
      </w:r>
      <w:r>
        <w:t xml:space="preserve"> </w:t>
      </w:r>
      <w:r>
        <w:t xml:space="preserve">Collaborate with the provincial health authority to streamline billing for GP services under Argentina’s new "Cuidado Integral" framework, reducing payment delays by 30%.</w:t>
      </w:r>
    </w:p>
    <w:bookmarkEnd w:id="24"/>
    <w:bookmarkStart w:id="25" w:name="conclusion"/>
    <w:p>
      <w:pPr>
        <w:pStyle w:val="Heading2"/>
      </w:pPr>
      <w:r>
        <w:t xml:space="preserve">Conclusion</w:t>
      </w:r>
    </w:p>
    <w:p>
      <w:pPr>
        <w:pStyle w:val="FirstParagraph"/>
      </w:pPr>
      <w:r>
        <w:t xml:space="preserve">The Doctor General Practitioner service model continues to thrive in Argentina Córdoba due to its alignment with regional healthcare needs and patient preferences. Q3 sales demonstrate robust growth despite national economic pressures, proving that accessible, relationship-focused primary care is a sustainable business opportunity. By doubling down on partnerships, telehealth innovation, and culturally attuned service design—specifically tailored to Córdoba’s demographic realities—we project 18% revenue growth for Q4 2023 and a strengthened position as the leading GP network in the province.</w:t>
      </w:r>
    </w:p>
    <w:p>
      <w:pPr>
        <w:pStyle w:val="BodyText"/>
      </w:pPr>
      <w:r>
        <w:t xml:space="preserve">As Argentina’s healthcare sector evolves under new national initiatives, our commitment to delivering patient-centric Doctor General Practitioner services in Córdoba remains a strategic advantage. This report underscores that investing in local relevance—not just clinical expertise—drives measurable sales success across Argentina’s dynamic regional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in Argentina Córdoba</dc:title>
  <dc:creator/>
  <cp:keywords/>
  <dcterms:created xsi:type="dcterms:W3CDTF">2026-07-23T13:47:53Z</dcterms:created>
  <dcterms:modified xsi:type="dcterms:W3CDTF">2026-07-23T13:47:53Z</dcterms:modified>
</cp:coreProperties>
</file>

<file path=docProps/custom.xml><?xml version="1.0" encoding="utf-8"?>
<Properties xmlns="http://schemas.openxmlformats.org/officeDocument/2006/custom-properties" xmlns:vt="http://schemas.openxmlformats.org/officeDocument/2006/docPropsVTypes"/>
</file>