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7" w:name="X9a2b8194c9c3d312ed46e15846e09408fbf81f1"/>
    <w:p>
      <w:pPr>
        <w:pStyle w:val="Heading1"/>
      </w:pPr>
      <w:r>
        <w:t xml:space="preserve">Sales Report: Doctor General Practitioner Service Performance in Australia Melbourne (Q3 2023)</w:t>
      </w:r>
    </w:p>
    <w:p>
      <w:pPr>
        <w:pStyle w:val="FirstParagraph"/>
      </w:pPr>
      <w:r>
        <w:rPr>
          <w:bCs/>
          <w:b/>
        </w:rPr>
        <w:t xml:space="preserve">Prepared For:</w:t>
      </w:r>
      <w:r>
        <w:t xml:space="preserve"> </w:t>
      </w:r>
      <w:r>
        <w:t xml:space="preserve">Melbourne Healthcare Management Group</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General Practitioner (GP) services across our network of medical clinics operating within Melbourne, Victoria, Australia. The reporting period reflects strong patient engagement and service adoption rates in the context of Melbourne's evolving healthcare landscape. Despite ongoing workforce pressures across Australia, our Doctor General Practitioner teams achieved a 14% year-on-year increase in consultation volumes at locations spanning inner-city suburbs (CBD, Fitzroy) to outer metropolitan areas (Footscray, Sunshine). This report underscores the critical role of accessible primary care within the Australian healthcare system and provides strategic insights for Melbourne-based service expansion.</w:t>
      </w:r>
    </w:p>
    <w:bookmarkEnd w:id="20"/>
    <w:bookmarkStart w:id="21" w:name="X649acf21751a9b85621f12209387d038a21e8dc"/>
    <w:p>
      <w:pPr>
        <w:pStyle w:val="Heading2"/>
      </w:pPr>
      <w:r>
        <w:t xml:space="preserve">II. Market Context: Doctor General Practitioner Demand in Australia Melbourne</w:t>
      </w:r>
    </w:p>
    <w:p>
      <w:pPr>
        <w:pStyle w:val="FirstParagraph"/>
      </w:pPr>
      <w:r>
        <w:t xml:space="preserve">Melbourne continues to be a major hub for healthcare services in Australia, with over 350 GP clinics operating across the city. The Australian Government's Medicare Benefits Schedule (MBS) reforms, coupled with rising population density and an aging demographic in Victoria, have intensified demand for reliable Doctor General Practitioner services. Q3 2023 data from the Australian Institute of Health and Welfare (AIHW) confirms Melbourne recorded a 12% increase in GP visits compared to the same period last year – significantly outpacing national averages. This trend directly aligns with our clinic performance, demonstrating the strong market validation for our service model within Australia's largest city.</w:t>
      </w:r>
    </w:p>
    <w:bookmarkEnd w:id="21"/>
    <w:bookmarkStart w:id="22" w:name="X37e8c8763d5f8abc59caeda448c903ac2978685"/>
    <w:p>
      <w:pPr>
        <w:pStyle w:val="Heading2"/>
      </w:pPr>
      <w:r>
        <w:t xml:space="preserve">III. Key Sales Performance Metrics (Melbourne Focus)</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GP Consultations (Melbourne Clinics)</w:t>
      </w:r>
    </w:p>
    <w:p>
      <w:pPr>
        <w:pStyle w:val="BodyText"/>
      </w:pPr>
      <w:r>
        <w:t xml:space="preserve">18,450</w:t>
      </w:r>
    </w:p>
    <w:p>
      <w:pPr>
        <w:pStyle w:val="BodyText"/>
      </w:pPr>
      <w:r>
        <w:t xml:space="preserve">16,180</w:t>
      </w:r>
    </w:p>
    <w:p>
      <w:pPr>
        <w:pStyle w:val="BodyText"/>
      </w:pPr>
      <w:r>
        <w:t xml:space="preserve">+14.0%</w:t>
      </w:r>
    </w:p>
    <w:p>
      <w:pPr>
        <w:pStyle w:val="BodyText"/>
      </w:pPr>
      <w:r>
        <w:t xml:space="preserve">Service Type Breakdown (Melbourne)</w:t>
      </w:r>
    </w:p>
    <w:p>
      <w:pPr>
        <w:pStyle w:val="BodyText"/>
      </w:pPr>
      <w:r>
        <w:t xml:space="preserve">Bulk-Billed Consultations</w:t>
      </w:r>
    </w:p>
    <w:p>
      <w:pPr>
        <w:pStyle w:val="BodyText"/>
      </w:pPr>
      <w:r>
        <w:t xml:space="preserve">7,220</w:t>
      </w:r>
    </w:p>
    <w:p>
      <w:pPr>
        <w:pStyle w:val="BodyText"/>
      </w:pPr>
      <w:r>
        <w:t xml:space="preserve">6,850</w:t>
      </w:r>
    </w:p>
    <w:p>
      <w:pPr>
        <w:pStyle w:val="BodyText"/>
      </w:pPr>
      <w:r>
        <w:t xml:space="preserve">+5.4%</w:t>
      </w:r>
    </w:p>
    <w:p>
      <w:pPr>
        <w:pStyle w:val="BodyText"/>
      </w:pPr>
      <w:r>
        <w:t xml:space="preserve">Premium (Non-Bulk) Consultations</w:t>
      </w:r>
    </w:p>
    <w:p>
      <w:pPr>
        <w:pStyle w:val="BodyText"/>
      </w:pPr>
      <w:r>
        <w:t xml:space="preserve">5,180</w:t>
      </w:r>
    </w:p>
    <w:p>
      <w:pPr>
        <w:pStyle w:val="BodyText"/>
      </w:pPr>
      <w:r>
        <w:t xml:space="preserve">4,390</w:t>
      </w:r>
    </w:p>
    <w:p>
      <w:pPr>
        <w:pStyle w:val="BodyText"/>
      </w:pPr>
      <w:r>
        <w:t xml:space="preserve">+18.0%</w:t>
      </w:r>
    </w:p>
    <w:p>
      <w:pPr>
        <w:pStyle w:val="BodyText"/>
      </w:pPr>
      <w:r>
        <w:t xml:space="preserve">Telehealth Appointments (Doctor General Practitioner)</w:t>
      </w:r>
    </w:p>
    <w:p>
      <w:pPr>
        <w:pStyle w:val="BodyText"/>
      </w:pPr>
      <w:r>
        <w:t xml:space="preserve">3,250</w:t>
      </w:r>
    </w:p>
    <w:p>
      <w:pPr>
        <w:pStyle w:val="BodyText"/>
      </w:pPr>
      <w:r>
        <w:t xml:space="preserve">2,670</w:t>
      </w:r>
    </w:p>
    <w:p>
      <w:pPr>
        <w:pStyle w:val="BodyText"/>
      </w:pPr>
      <w:r>
        <w:t xml:space="preserve">Patient Retention Rate (Melbourne)</w:t>
      </w:r>
    </w:p>
    <w:p>
      <w:pPr>
        <w:pStyle w:val="BodyText"/>
      </w:pPr>
      <w:r>
        <w:t xml:space="preserve">New Patients Acquired</w:t>
      </w:r>
    </w:p>
    <w:p>
      <w:pPr>
        <w:pStyle w:val="BodyText"/>
      </w:pPr>
      <w:r>
        <w:t xml:space="preserve">2,185</w:t>
      </w:r>
    </w:p>
    <w:p>
      <w:pPr>
        <w:pStyle w:val="BodyText"/>
      </w:pPr>
      <w:r>
        <w:t xml:space="preserve">1,940</w:t>
      </w:r>
    </w:p>
    <w:p>
      <w:pPr>
        <w:pStyle w:val="BodyText"/>
      </w:pPr>
      <w:r>
        <w:t xml:space="preserve">+12.6%</w:t>
      </w:r>
    </w:p>
    <w:p>
      <w:pPr>
        <w:pStyle w:val="BodyText"/>
      </w:pPr>
      <w:r>
        <w:t xml:space="preserve">Patient Retention (3+ Visits)</w:t>
      </w:r>
    </w:p>
    <w:p>
      <w:pPr>
        <w:pStyle w:val="BodyText"/>
      </w:pPr>
      <w:r>
        <w:t xml:space="preserve">67.3%</w:t>
      </w:r>
    </w:p>
    <w:p>
      <w:pPr>
        <w:pStyle w:val="BodyText"/>
      </w:pPr>
      <w:r>
        <w:t xml:space="preserve">64.8%</w:t>
      </w:r>
    </w:p>
    <w:p>
      <w:pPr>
        <w:pStyle w:val="BodyText"/>
      </w:pPr>
      <w:r>
        <w:t xml:space="preserve">The significant growth in premium consultations (+18%) reflects Melbourne patients' increasing willingness to invest in comprehensive Doctor General Practitioner services beyond basic bulk-billed visits, including chronic disease management and preventive health packages. Our telehealth integration saw a 21.7% rise, driven by demand from suburban communities like Dandenong and Moorabbin seeking flexible access to Doctor General Practitioner care within Australia's digital health framework.</w:t>
      </w:r>
    </w:p>
    <w:bookmarkEnd w:id="22"/>
    <w:bookmarkStart w:id="23" w:name="iv.-melbourne-specific-market-analysis"/>
    <w:p>
      <w:pPr>
        <w:pStyle w:val="Heading2"/>
      </w:pPr>
      <w:r>
        <w:t xml:space="preserve">IV. Melbourne-Specific Market Analysis</w:t>
      </w:r>
    </w:p>
    <w:p>
      <w:pPr>
        <w:pStyle w:val="FirstParagraph"/>
      </w:pPr>
      <w:r>
        <w:t xml:space="preserve">Analysis of our Melbourne data reveals critical geographic and demographic patterns:</w:t>
      </w:r>
    </w:p>
    <w:p>
      <w:pPr>
        <w:numPr>
          <w:ilvl w:val="0"/>
          <w:numId w:val="1001"/>
        </w:numPr>
        <w:pStyle w:val="Compact"/>
      </w:pPr>
      <w:r>
        <w:rPr>
          <w:bCs/>
          <w:b/>
        </w:rPr>
        <w:t xml:space="preserve">Inner City Demand:</w:t>
      </w:r>
      <w:r>
        <w:t xml:space="preserve"> </w:t>
      </w:r>
      <w:r>
        <w:t xml:space="preserve">Clinics in the CBD, Southbank, and Fitzroy reported 18% higher consultation volumes than suburban clinics. This correlates with high density of young professionals seeking routine health checks from their Doctor General Practitioner.</w:t>
      </w:r>
    </w:p>
    <w:p>
      <w:pPr>
        <w:numPr>
          <w:ilvl w:val="0"/>
          <w:numId w:val="1001"/>
        </w:numPr>
        <w:pStyle w:val="Compact"/>
      </w:pPr>
      <w:r>
        <w:rPr>
          <w:bCs/>
          <w:b/>
        </w:rPr>
        <w:t xml:space="preserve">Rural-Urban Access Gap:</w:t>
      </w:r>
      <w:r>
        <w:t xml:space="preserve"> </w:t>
      </w:r>
      <w:r>
        <w:t xml:space="preserve">While our Footscray clinic achieved 22% patient growth, demand in Western Melbourne suburbs (e.g., Sunshine, Melton) remains underserved. This presents a key sales opportunity for targeted expansion of Doctor General Practitioner services within these high-growth areas of Australia.</w:t>
      </w:r>
    </w:p>
    <w:p>
      <w:pPr>
        <w:numPr>
          <w:ilvl w:val="0"/>
          <w:numId w:val="1001"/>
        </w:numPr>
        <w:pStyle w:val="Compact"/>
      </w:pPr>
      <w:r>
        <w:rPr>
          <w:bCs/>
          <w:b/>
        </w:rPr>
        <w:t xml:space="preserve">Seasonal Health Trends:</w:t>
      </w:r>
      <w:r>
        <w:t xml:space="preserve"> </w:t>
      </w:r>
      <w:r>
        <w:t xml:space="preserve">Q3 2023 saw a 35% spike in consultations related to respiratory illnesses (flu, RSV), directly managed by our Doctor General Practitioner teams across Melbourne. This highlights the operational efficiency of our service model during public health peaks.</w:t>
      </w:r>
    </w:p>
    <w:bookmarkEnd w:id="23"/>
    <w:bookmarkStart w:id="24" w:name="X5d81dbfe1d1bf6f34d11b602667378afa41405a"/>
    <w:p>
      <w:pPr>
        <w:pStyle w:val="Heading2"/>
      </w:pPr>
      <w:r>
        <w:t xml:space="preserve">V. Challenges &amp; Strategic Actions for Doctor General Practitioner Services</w:t>
      </w:r>
    </w:p>
    <w:p>
      <w:pPr>
        <w:pStyle w:val="FirstParagraph"/>
      </w:pPr>
      <w:r>
        <w:t xml:space="preserve">Despite strong sales performance, key challenges require strategic focus to sustain growth in the Australia Melbourne market:</w:t>
      </w:r>
    </w:p>
    <w:p>
      <w:pPr>
        <w:numPr>
          <w:ilvl w:val="0"/>
          <w:numId w:val="1002"/>
        </w:numPr>
        <w:pStyle w:val="Compact"/>
      </w:pPr>
      <w:r>
        <w:rPr>
          <w:bCs/>
          <w:b/>
        </w:rPr>
        <w:t xml:space="preserve">Workforce Shortages:</w:t>
      </w:r>
      <w:r>
        <w:t xml:space="preserve"> </w:t>
      </w:r>
      <w:r>
        <w:t xml:space="preserve">Victoria faces a 12% GP vacancy rate (AMA 2023). Our Melbourne clinics experienced an average 15-day wait for new patient appointments. *Action: Accelerate recruitment of overseas-trained GPs and partner with Melbourne universities (e.g., Monash, Deakin) for targeted graduate placement programs.</w:t>
      </w:r>
    </w:p>
    <w:p>
      <w:pPr>
        <w:numPr>
          <w:ilvl w:val="0"/>
          <w:numId w:val="1002"/>
        </w:numPr>
        <w:pStyle w:val="Compact"/>
      </w:pPr>
      <w:r>
        <w:rPr>
          <w:bCs/>
          <w:b/>
        </w:rPr>
        <w:t xml:space="preserve">Medicare Reimbursement Pressure:</w:t>
      </w:r>
      <w:r>
        <w:t xml:space="preserve"> </w:t>
      </w:r>
      <w:r>
        <w:t xml:space="preserve">Bulk-billing sustainability remains challenging. *Action: Develop premium "Wellness Pathway" packages (e.g., $149 for 6-month chronic disease management) to offset revenue pressures while maintaining accessibility – a model proven popular with Melbourne patients.</w:t>
      </w:r>
    </w:p>
    <w:p>
      <w:pPr>
        <w:numPr>
          <w:ilvl w:val="0"/>
          <w:numId w:val="1002"/>
        </w:numPr>
        <w:pStyle w:val="Compact"/>
      </w:pPr>
      <w:r>
        <w:rPr>
          <w:bCs/>
          <w:b/>
        </w:rPr>
        <w:t xml:space="preserve">Digital Adoption Gap:</w:t>
      </w:r>
      <w:r>
        <w:t xml:space="preserve"> </w:t>
      </w:r>
      <w:r>
        <w:t xml:space="preserve">Older patients in Melbourne suburbs like Werribee show lower telehealth uptake. *Action: Implement "Tech Buddy" in-clinic support at all Melbourne locations to bridge the digital divide for Doctor General Practitioner consultations.</w:t>
      </w:r>
    </w:p>
    <w:bookmarkEnd w:id="24"/>
    <w:bookmarkStart w:id="25" w:name="vi.-conclusion-forward-looking-strategy"/>
    <w:p>
      <w:pPr>
        <w:pStyle w:val="Heading2"/>
      </w:pPr>
      <w:r>
        <w:t xml:space="preserve">VI. Conclusion &amp; Forward-Looking Strategy</w:t>
      </w:r>
    </w:p>
    <w:p>
      <w:pPr>
        <w:pStyle w:val="FirstParagraph"/>
      </w:pPr>
      <w:r>
        <w:t xml:space="preserve">The Q3 2023 Sales Report confirms the exceptional value proposition of high-quality, accessible Doctor General Practitioner services within Australia's Melbourne healthcare ecosystem. Our 14% year-on-year growth in consultations demonstrates robust demand for patient-centric primary care – a cornerstone of the Australian Medicare system. As Melbourne continues to expand (projected population growth of 1.5% annually), our focus must pivot towards strategically expanding Doctor General Practitioner coverage into underserved Western and North-Western Melbourne suburbs, while innovating service models that balance affordability with premium care options.</w:t>
      </w:r>
    </w:p>
    <w:p>
      <w:pPr>
        <w:pStyle w:val="BodyText"/>
      </w:pPr>
      <w:r>
        <w:t xml:space="preserve">By leveraging our proven sales performance data, we are positioning the Melbourne network to become a benchmark for integrated GP services across Australia. The continued success of Doctor General Practitioner teams in our clinics will directly contribute to improved population health outcomes and sustainable healthcare access – fulfilling both commercial objectives and Australia's national health priorities within the dynamic Melburnian context.</w:t>
      </w:r>
    </w:p>
    <w:bookmarkEnd w:id="25"/>
    <w:bookmarkStart w:id="26" w:name="X33036c5a8a304a246a9a2dc5a37b4f75b6e0dfb"/>
    <w:p>
      <w:pPr>
        <w:pStyle w:val="Heading2"/>
      </w:pPr>
      <w:r>
        <w:t xml:space="preserve">VII. Appendix: Melbourne Healthcare Policy Context</w:t>
      </w:r>
    </w:p>
    <w:p>
      <w:pPr>
        <w:pStyle w:val="FirstParagraph"/>
      </w:pPr>
      <w:r>
        <w:t xml:space="preserve">Reference to relevant Australian policy frameworks shaping GP sales performance:</w:t>
      </w:r>
    </w:p>
    <w:p>
      <w:pPr>
        <w:numPr>
          <w:ilvl w:val="0"/>
          <w:numId w:val="1003"/>
        </w:numPr>
        <w:pStyle w:val="Compact"/>
      </w:pPr>
      <w:r>
        <w:t xml:space="preserve">Melbourne Health Partnership Initiative (2023): Enhanced funding for GP-led clinics in priority suburbs.</w:t>
      </w:r>
    </w:p>
    <w:p>
      <w:pPr>
        <w:numPr>
          <w:ilvl w:val="0"/>
          <w:numId w:val="1003"/>
        </w:numPr>
        <w:pStyle w:val="Compact"/>
      </w:pPr>
      <w:r>
        <w:t xml:space="preserve">Medicare Schedule Review 2023: Increased rebates for complex chronic disease management – directly boosting premium consultation uptake.</w:t>
      </w:r>
    </w:p>
    <w:p>
      <w:pPr>
        <w:numPr>
          <w:ilvl w:val="0"/>
          <w:numId w:val="1003"/>
        </w:numPr>
        <w:pStyle w:val="Compact"/>
      </w:pPr>
      <w:r>
        <w:t xml:space="preserve">Victoria’s Primary Health Network (PHN) Strategy: Targeted support for telehealth infrastructure, aligning with our Q3 telehealth growth.</w:t>
      </w:r>
    </w:p>
    <w:p>
      <w:pPr>
        <w:pStyle w:val="FirstParagraph"/>
      </w:pPr>
      <w:r>
        <w:rPr>
          <w:bCs/>
          <w:b/>
        </w:rPr>
        <w:t xml:space="preserve">Total Word Count:</w:t>
      </w:r>
      <w:r>
        <w:t xml:space="preserve"> </w:t>
      </w:r>
      <w:r>
        <w:t xml:space="preserve">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Services in Australia Melbourne</dc:title>
  <dc:creator/>
  <dc:language>en</dc:language>
  <cp:keywords/>
  <dcterms:created xsi:type="dcterms:W3CDTF">2026-07-21T04:11:06Z</dcterms:created>
  <dcterms:modified xsi:type="dcterms:W3CDTF">2026-07-21T04:11:06Z</dcterms:modified>
</cp:coreProperties>
</file>

<file path=docProps/custom.xml><?xml version="1.0" encoding="utf-8"?>
<Properties xmlns="http://schemas.openxmlformats.org/officeDocument/2006/custom-properties" xmlns:vt="http://schemas.openxmlformats.org/officeDocument/2006/docPropsVTypes"/>
</file>