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Sydney</w:t>
      </w:r>
      <w:r>
        <w:t xml:space="preserve"> </w:t>
      </w:r>
      <w:r>
        <w:t xml:space="preserve">Metropolitan</w:t>
      </w:r>
      <w:r>
        <w:t xml:space="preserve"> </w:t>
      </w:r>
      <w:r>
        <w:t xml:space="preserve">General</w:t>
      </w:r>
      <w:r>
        <w:t xml:space="preserve"> </w:t>
      </w:r>
      <w:r>
        <w:t xml:space="preserve">Practitioner</w:t>
      </w:r>
      <w:r>
        <w:t xml:space="preserve"> </w:t>
      </w:r>
      <w:r>
        <w:t xml:space="preserve">Service</w:t>
      </w:r>
      <w:r>
        <w:t xml:space="preserve"> </w:t>
      </w:r>
      <w:r>
        <w:t xml:space="preserve">Performance</w:t>
      </w:r>
      <w:r>
        <w:t xml:space="preserve"> </w:t>
      </w:r>
      <w:r>
        <w:t xml:space="preserve">Report</w:t>
      </w:r>
    </w:p>
    <w:bookmarkStart w:id="28" w:name="X74501f4f6cb66481c201b70601ff8a6bba3092f"/>
    <w:p>
      <w:pPr>
        <w:pStyle w:val="Heading1"/>
      </w:pPr>
      <w:r>
        <w:t xml:space="preserve">Sales Report: Sydney Metropolitan General Practitioner Service Performance (Q3 2023)</w:t>
      </w:r>
    </w:p>
    <w:p>
      <w:pPr>
        <w:pStyle w:val="FirstParagraph"/>
      </w:pPr>
      <w:r>
        <w:rPr>
          <w:bCs/>
          <w:b/>
        </w:rPr>
        <w:t xml:space="preserve">Prepared For:</w:t>
      </w:r>
      <w:r>
        <w:t xml:space="preserve"> </w:t>
      </w:r>
      <w:r>
        <w:t xml:space="preserve">Healthcare Management Committee, Australia Sydney</w:t>
      </w:r>
      <w:r>
        <w:br/>
      </w:r>
      <w:r>
        <w:rPr>
          <w:bCs/>
          <w:b/>
        </w:rPr>
        <w:t xml:space="preserve">Date:</w:t>
      </w:r>
      <w:r>
        <w:t xml:space="preserve"> </w:t>
      </w:r>
      <w:r>
        <w:t xml:space="preserve">October 26, 2023</w:t>
      </w:r>
      <w:r>
        <w:br/>
      </w:r>
      <w:r>
        <w:rPr>
          <w:bCs/>
          <w:b/>
        </w:rPr>
        <w:t xml:space="preserve">Reporting Period:</w:t>
      </w:r>
      <w:r>
        <w:t xml:space="preserve"> </w:t>
      </w:r>
      <w:r>
        <w:t xml:space="preserve">July 1, 2023 – September 30, 2023</w:t>
      </w:r>
    </w:p>
    <w:bookmarkStart w:id="20" w:name="executive-summary"/>
    <w:p>
      <w:pPr>
        <w:pStyle w:val="Heading2"/>
      </w:pPr>
      <w:r>
        <w:t xml:space="preserve">Executive Summary</w:t>
      </w:r>
    </w:p>
    <w:p>
      <w:pPr>
        <w:pStyle w:val="FirstParagraph"/>
      </w:pPr>
      <w:r>
        <w:t xml:space="preserve">This comprehensive Sales Report details the performance metrics for General Practitioner (GP) services across Sydney metropolitan clinics. As Australia's largest urban centre faces escalating healthcare demands, this report demonstrates how strategic service delivery initiatives have significantly enhanced patient access and operational efficiency. The data confirms that targeted investments in Sydney-based Doctor General Practitioner networks have directly improved community health outcomes while achieving sustainable financial performance under Medicare regulations.</w:t>
      </w:r>
    </w:p>
    <w:bookmarkEnd w:id="20"/>
    <w:bookmarkStart w:id="21" w:name="Xffd507a5a63af7330a4cd839d3c33aa495cb84d"/>
    <w:p>
      <w:pPr>
        <w:pStyle w:val="Heading2"/>
      </w:pPr>
      <w:r>
        <w:t xml:space="preserve">Market Context: Australia Sydney Healthcare Landscape</w:t>
      </w:r>
    </w:p>
    <w:p>
      <w:pPr>
        <w:pStyle w:val="FirstParagraph"/>
      </w:pPr>
      <w:r>
        <w:t xml:space="preserve">Sydney's population of over 5.3 million residents presents unique challenges for healthcare providers. With a 4.7% annual growth rate in the Greater Sydney region (Australian Bureau of Statistics, 2023), demand for Doctor General Practitioner services has surged by 18% compared to Q3 2022. This growth is concentrated in high-density suburbs including Parramatta, Hurstville, and Bondi Junction where GP vacancy rates reached critical levels. The Australian Government's Primary Health Care Strategy explicitly prioritizes Sydney metropolitan areas for enhanced service accessibility, making this Sales Report crucial for strategic planning.</w:t>
      </w:r>
    </w:p>
    <w:bookmarkEnd w:id="21"/>
    <w:bookmarkStart w:id="23" w:name="key-performance-indicators-sales-metrics"/>
    <w:p>
      <w:pPr>
        <w:pStyle w:val="Heading2"/>
      </w:pPr>
      <w:r>
        <w:t xml:space="preserve">Key Performance Indicators: Sales Metrics</w:t>
      </w:r>
    </w:p>
    <w:p>
      <w:pPr>
        <w:pStyle w:val="FirstParagraph"/>
      </w:pPr>
      <w:r>
        <w:t xml:space="preserve">Performance Metric</w:t>
      </w:r>
    </w:p>
    <w:p>
      <w:pPr>
        <w:pStyle w:val="BodyText"/>
      </w:pPr>
      <w:r>
        <w:t xml:space="preserve">Q3 2023</w:t>
      </w:r>
    </w:p>
    <w:p>
      <w:pPr>
        <w:pStyle w:val="BodyText"/>
      </w:pPr>
      <w:r>
        <w:t xml:space="preserve">% Change vs Q2 2023</w:t>
      </w:r>
    </w:p>
    <w:p>
      <w:pPr>
        <w:pStyle w:val="BodyText"/>
      </w:pPr>
      <w:r>
        <w:t xml:space="preserve">% Change vs Q3 2022</w:t>
      </w:r>
    </w:p>
    <w:p>
      <w:pPr>
        <w:pStyle w:val="BodyText"/>
      </w:pPr>
      <w:r>
        <w:t xml:space="preserve">Consultation Sales Volume (Patient Visits)</w:t>
      </w:r>
    </w:p>
    <w:p>
      <w:pPr>
        <w:pStyle w:val="BodyText"/>
      </w:pPr>
      <w:r>
        <w:t xml:space="preserve">84,750</w:t>
      </w:r>
    </w:p>
    <w:p>
      <w:pPr>
        <w:pStyle w:val="BodyText"/>
      </w:pPr>
      <w:r>
        <w:t xml:space="preserve">+11.3%</w:t>
      </w:r>
    </w:p>
    <w:p>
      <w:pPr>
        <w:pStyle w:val="BodyText"/>
      </w:pPr>
      <w:r>
        <w:t xml:space="preserve">+18.6%</w:t>
      </w:r>
    </w:p>
    <w:p>
      <w:pPr>
        <w:pStyle w:val="BodyText"/>
      </w:pPr>
      <w:r>
        <w:t xml:space="preserve">Average Consultation Revenue per Patient</w:t>
      </w:r>
    </w:p>
    <w:p>
      <w:pPr>
        <w:pStyle w:val="BodyText"/>
      </w:pPr>
      <w:r>
        <w:t xml:space="preserve">$82.45</w:t>
      </w:r>
    </w:p>
    <w:p>
      <w:pPr>
        <w:pStyle w:val="BodyText"/>
      </w:pPr>
      <w:r>
        <w:t xml:space="preserve">&lt;</w:t>
      </w:r>
    </w:p>
    <w:p>
      <w:pPr>
        <w:pStyle w:val="BodyText"/>
      </w:pPr>
      <w:r>
        <w:t xml:space="preserve">+2.1%</w:t>
      </w:r>
    </w:p>
    <w:p>
      <w:pPr>
        <w:pStyle w:val="BodyText"/>
      </w:pPr>
      <w:r>
        <w:t xml:space="preserve">New Patient Acquisitions</w:t>
      </w:r>
    </w:p>
    <w:p>
      <w:pPr>
        <w:pStyle w:val="BodyText"/>
      </w:pPr>
      <w:r>
        <w:t xml:space="preserve">6,200</w:t>
      </w:r>
    </w:p>
    <w:p>
      <w:pPr>
        <w:pStyle w:val="BodyText"/>
      </w:pPr>
      <w:r>
        <w:t xml:space="preserve">+15.7%</w:t>
      </w:r>
    </w:p>
    <w:p>
      <w:pPr>
        <w:pStyle w:val="BodyText"/>
      </w:pPr>
      <w:r>
        <w:t xml:space="preserve">Telehealth Consultation Rate</w:t>
      </w:r>
    </w:p>
    <w:p>
      <w:pPr>
        <w:pStyle w:val="BodyText"/>
      </w:pPr>
      <w:r>
        <w:t xml:space="preserve">38.2%</w:t>
      </w:r>
    </w:p>
    <w:p>
      <w:pPr>
        <w:pStyle w:val="BodyText"/>
      </w:pPr>
      <w:r>
        <w:t xml:space="preserve">+9.4%</w:t>
      </w:r>
    </w:p>
    <w:p>
      <w:pPr>
        <w:pStyle w:val="BodyText"/>
      </w:pPr>
      <w:r>
        <w:t xml:space="preserve">Patient Satisfaction Score (NPS)</w:t>
      </w:r>
    </w:p>
    <w:p>
      <w:pPr>
        <w:pStyle w:val="BodyText"/>
      </w:pPr>
      <w:r>
        <w:t xml:space="preserve">76</w:t>
      </w:r>
    </w:p>
    <w:p>
      <w:pPr>
        <w:pStyle w:val="BodyText"/>
      </w:pPr>
      <w:r>
        <w:t xml:space="preserve">+5 points</w:t>
      </w:r>
    </w:p>
    <w:bookmarkStart w:id="22" w:name="analysis-of-sales-performance"/>
    <w:p>
      <w:pPr>
        <w:pStyle w:val="Heading3"/>
      </w:pPr>
      <w:r>
        <w:t xml:space="preserve">Analysis of Sales Performance</w:t>
      </w:r>
    </w:p>
    <w:p>
      <w:pPr>
        <w:pStyle w:val="FirstParagraph"/>
      </w:pPr>
      <w:r>
        <w:t xml:space="preserve">The 18.6% year-on-year increase in consultation sales volume directly responds to Sydney's growing population and the government's "GP Access for All" initiative. Notably, telehealth services accounted for 38.2% of all consultations—a significant rise from 29% in Q3 2022—reflecting successful integration of digital health tools into Doctor General Practitioner workflows across Sydney clinics.</w:t>
      </w:r>
    </w:p>
    <w:p>
      <w:pPr>
        <w:pStyle w:val="BodyText"/>
      </w:pPr>
      <w:r>
        <w:t xml:space="preserve">Revenue per patient increased by 5.1% compared to the same period last year, driven by effective management of Medicare rebates and targeted bulk billing initiatives for vulnerable populations in Western Sydney. The 6,200 new patients acquired this quarter represent a 15.7% growth in patient base, exceeding Sydney metropolitan target metrics by 32%. This growth was particularly strong in areas with high ethnic diversity such as Auburn and Lakemba where culturally competent care models significantly improved service uptake.</w:t>
      </w:r>
    </w:p>
    <w:bookmarkEnd w:id="22"/>
    <w:bookmarkEnd w:id="23"/>
    <w:bookmarkStart w:id="24" w:name="X590196418e5d8222f9db5c28c7eb7c20a947131"/>
    <w:p>
      <w:pPr>
        <w:pStyle w:val="Heading2"/>
      </w:pPr>
      <w:r>
        <w:t xml:space="preserve">Regional Performance Breakdown: Australia Sydney Focus</w:t>
      </w:r>
    </w:p>
    <w:p>
      <w:pPr>
        <w:pStyle w:val="FirstParagraph"/>
      </w:pPr>
      <w:r>
        <w:t xml:space="preserve">Sydney's geographical diversity necessitates tailored approaches. The Sales Report reveals distinct patterns across regions:</w:t>
      </w:r>
    </w:p>
    <w:p>
      <w:pPr>
        <w:numPr>
          <w:ilvl w:val="0"/>
          <w:numId w:val="1001"/>
        </w:numPr>
        <w:pStyle w:val="Compact"/>
      </w:pPr>
      <w:r>
        <w:rPr>
          <w:bCs/>
          <w:b/>
        </w:rPr>
        <w:t xml:space="preserve">Eastern Suburbs (Bondi, Woollahra):</w:t>
      </w:r>
      <w:r>
        <w:t xml:space="preserve"> </w:t>
      </w:r>
      <w:r>
        <w:t xml:space="preserve">Highest revenue per consultation ($95.30) with 42% telehealth adoption, driven by affluent patient demographics seeking convenience.</w:t>
      </w:r>
    </w:p>
    <w:p>
      <w:pPr>
        <w:numPr>
          <w:ilvl w:val="0"/>
          <w:numId w:val="1001"/>
        </w:numPr>
        <w:pStyle w:val="Compact"/>
      </w:pPr>
      <w:r>
        <w:rPr>
          <w:bCs/>
          <w:b/>
        </w:rPr>
        <w:t xml:space="preserve">Western Sydney (Parramatta, Campbelltown):</w:t>
      </w:r>
      <w:r>
        <w:t xml:space="preserve"> </w:t>
      </w:r>
      <w:r>
        <w:t xml:space="preserve">Strongest growth in new patient acquisitions (+21.4%) and highest bulk billing uptake (78%), addressing critical care access needs.</w:t>
      </w:r>
    </w:p>
    <w:p>
      <w:pPr>
        <w:numPr>
          <w:ilvl w:val="0"/>
          <w:numId w:val="1001"/>
        </w:numPr>
        <w:pStyle w:val="Compact"/>
      </w:pPr>
      <w:r>
        <w:rPr>
          <w:bCs/>
          <w:b/>
        </w:rPr>
        <w:t xml:space="preserve">Northern Beaches (Manly, Brookvale):</w:t>
      </w:r>
      <w:r>
        <w:t xml:space="preserve"> </w:t>
      </w:r>
      <w:r>
        <w:t xml:space="preserve">Highest satisfaction scores (82 NPS) with wellness-focused consultations driving 35% of sales volume in preventive care services.</w:t>
      </w:r>
    </w:p>
    <w:bookmarkEnd w:id="24"/>
    <w:bookmarkStart w:id="25" w:name="X5bea46b734f0d463bf8e6791ce7253b3732dd5d"/>
    <w:p>
      <w:pPr>
        <w:pStyle w:val="Heading2"/>
      </w:pPr>
      <w:r>
        <w:t xml:space="preserve">Strategic Initiatives Driving Sales Growth</w:t>
      </w:r>
    </w:p>
    <w:p>
      <w:pPr>
        <w:pStyle w:val="FirstParagraph"/>
      </w:pPr>
      <w:r>
        <w:t xml:space="preserve">Sydney's Doctor General Practitioner service model implemented three key initiatives that directly contributed to improved sales performance:</w:t>
      </w:r>
    </w:p>
    <w:p>
      <w:pPr>
        <w:numPr>
          <w:ilvl w:val="0"/>
          <w:numId w:val="1002"/>
        </w:numPr>
        <w:pStyle w:val="Compact"/>
      </w:pPr>
      <w:r>
        <w:rPr>
          <w:bCs/>
          <w:b/>
        </w:rPr>
        <w:t xml:space="preserve">Expanded Service Hours:</w:t>
      </w:r>
      <w:r>
        <w:t xml:space="preserve"> </w:t>
      </w:r>
      <w:r>
        <w:t xml:space="preserve">Extended clinic hours to include evenings and Saturdays at 14 Sydney locations, increasing access by 27% in underserved areas.</w:t>
      </w:r>
    </w:p>
    <w:p>
      <w:pPr>
        <w:numPr>
          <w:ilvl w:val="0"/>
          <w:numId w:val="1002"/>
        </w:numPr>
        <w:pStyle w:val="Compact"/>
      </w:pPr>
      <w:r>
        <w:rPr>
          <w:bCs/>
          <w:b/>
        </w:rPr>
        <w:t xml:space="preserve">Cultural Competency Training:</w:t>
      </w:r>
      <w:r>
        <w:t xml:space="preserve"> </w:t>
      </w:r>
      <w:r>
        <w:t xml:space="preserve">Mandatory training for all GPs serving multicultural communities, leading to a 34% increase in patient retention among non-English speaking backgrounds.</w:t>
      </w:r>
    </w:p>
    <w:p>
      <w:pPr>
        <w:numPr>
          <w:ilvl w:val="0"/>
          <w:numId w:val="1002"/>
        </w:numPr>
        <w:pStyle w:val="Compact"/>
      </w:pPr>
      <w:r>
        <w:rPr>
          <w:bCs/>
          <w:b/>
        </w:rPr>
        <w:t xml:space="preserve">Integrated Digital Platform:</w:t>
      </w:r>
      <w:r>
        <w:t xml:space="preserve"> </w:t>
      </w:r>
      <w:r>
        <w:t xml:space="preserve">Launched "Sydney GP Connect" app enabling seamless booking, medical record access, and telehealth integration—adopted by 68% of patients within three months.</w:t>
      </w:r>
    </w:p>
    <w:bookmarkEnd w:id="25"/>
    <w:bookmarkStart w:id="26" w:name="challenges-strategic-recommendations"/>
    <w:p>
      <w:pPr>
        <w:pStyle w:val="Heading2"/>
      </w:pPr>
      <w:r>
        <w:t xml:space="preserve">Challenges &amp; Strategic Recommendations</w:t>
      </w:r>
    </w:p>
    <w:p>
      <w:pPr>
        <w:pStyle w:val="FirstParagraph"/>
      </w:pPr>
      <w:r>
        <w:t xml:space="preserve">Despite strong performance, significant challenges persist in Australia Sydney's healthcare market:</w:t>
      </w:r>
    </w:p>
    <w:p>
      <w:pPr>
        <w:numPr>
          <w:ilvl w:val="0"/>
          <w:numId w:val="1003"/>
        </w:numPr>
        <w:pStyle w:val="Compact"/>
      </w:pPr>
      <w:r>
        <w:rPr>
          <w:bCs/>
          <w:b/>
        </w:rPr>
        <w:t xml:space="preserve">Workforce Shortages:</w:t>
      </w:r>
      <w:r>
        <w:t xml:space="preserve"> </w:t>
      </w:r>
      <w:r>
        <w:t xml:space="preserve">37% of Sydney clinics report unfilled GP positions (RACGP, Sept 2023), directly impacting sales capacity.</w:t>
      </w:r>
    </w:p>
    <w:p>
      <w:pPr>
        <w:numPr>
          <w:ilvl w:val="0"/>
          <w:numId w:val="1003"/>
        </w:numPr>
        <w:pStyle w:val="Compact"/>
      </w:pPr>
      <w:r>
        <w:rPr>
          <w:bCs/>
          <w:b/>
        </w:rPr>
        <w:t xml:space="preserve">Patient Wait Times:</w:t>
      </w:r>
      <w:r>
        <w:t xml:space="preserve"> </w:t>
      </w:r>
      <w:r>
        <w:t xml:space="preserve">Average wait time increased to 14 days (up from 9 days in Q2) despite volume growth.</w:t>
      </w:r>
    </w:p>
    <w:p>
      <w:pPr>
        <w:numPr>
          <w:ilvl w:val="0"/>
          <w:numId w:val="1003"/>
        </w:numPr>
        <w:pStyle w:val="Compact"/>
      </w:pPr>
      <w:r>
        <w:rPr>
          <w:bCs/>
          <w:b/>
        </w:rPr>
        <w:t xml:space="preserve">Rebate Complexities:</w:t>
      </w:r>
      <w:r>
        <w:t xml:space="preserve"> </w:t>
      </w:r>
      <w:r>
        <w:t xml:space="preserve">Administrative costs for Medicare billing increased by 8% due to regulatory changes.</w:t>
      </w:r>
    </w:p>
    <w:p>
      <w:pPr>
        <w:pStyle w:val="FirstParagraph"/>
      </w:pPr>
      <w:r>
        <w:rPr>
          <w:bCs/>
          <w:b/>
        </w:rPr>
        <w:t xml:space="preserve">Strategic Recommendations:</w:t>
      </w:r>
    </w:p>
    <w:p>
      <w:pPr>
        <w:numPr>
          <w:ilvl w:val="0"/>
          <w:numId w:val="1004"/>
        </w:numPr>
        <w:pStyle w:val="Compact"/>
      </w:pPr>
      <w:r>
        <w:t xml:space="preserve">Expand the "GP Pathway" internship program with Sydney University to address workforce shortages, targeting 50 new trainee GPs for Sydney clinics by Q2 2024.</w:t>
      </w:r>
    </w:p>
    <w:p>
      <w:pPr>
        <w:numPr>
          <w:ilvl w:val="0"/>
          <w:numId w:val="1004"/>
        </w:numPr>
        <w:pStyle w:val="Compact"/>
      </w:pPr>
      <w:r>
        <w:t xml:space="preserve">Implement AI-powered scheduling to reduce patient wait times by 35% through predictive demand modeling.</w:t>
      </w:r>
    </w:p>
    <w:p>
      <w:pPr>
        <w:numPr>
          <w:ilvl w:val="0"/>
          <w:numId w:val="1004"/>
        </w:numPr>
        <w:pStyle w:val="Compact"/>
      </w:pPr>
      <w:r>
        <w:t xml:space="preserve">Develop a dedicated Medicare billing specialist team in each major Sydney hub to reduce administrative overhead costs.</w:t>
      </w:r>
    </w:p>
    <w:bookmarkEnd w:id="26"/>
    <w:bookmarkStart w:id="27" w:name="X19afd7f077e2446eb46af04deef20473b44c483"/>
    <w:p>
      <w:pPr>
        <w:pStyle w:val="Heading2"/>
      </w:pPr>
      <w:r>
        <w:t xml:space="preserve">Conclusion: The Future of Doctor General Practitioner Services in Sydney</w:t>
      </w:r>
    </w:p>
    <w:p>
      <w:pPr>
        <w:pStyle w:val="FirstParagraph"/>
      </w:pPr>
      <w:r>
        <w:t xml:space="preserve">This Sales Report demonstrates that strategically managed Doctor General Practitioner services are not only financially sustainable but also essential for Australia's healthcare system. In Sydney, where urban density creates unique access challenges, our data shows a clear correlation between enhanced service delivery models and improved patient outcomes. The 18.6% annual growth in consultation sales across Sydney metropolitan clinics proves that when healthcare providers align with community needs through innovation and cultural responsiveness, both operational excellence and community health thrive.</w:t>
      </w:r>
    </w:p>
    <w:p>
      <w:pPr>
        <w:pStyle w:val="BodyText"/>
      </w:pPr>
      <w:r>
        <w:t xml:space="preserve">As Australia continues to prioritize primary healthcare investment, Sydney's Doctor General Practitioner networks will remain at the forefront of delivering accessible, high-quality care. This report confirms that strategic sales performance metrics—when measured through patient access rather than transaction volume alone—directly support the Australian Government's vision for equitable healthcare across all Sydney communities.</w:t>
      </w:r>
    </w:p>
    <w:p>
      <w:pPr>
        <w:pStyle w:val="BodyText"/>
      </w:pPr>
      <w:r>
        <w:rPr>
          <w:bCs/>
          <w:b/>
        </w:rPr>
        <w:t xml:space="preserve">Prepared By:</w:t>
      </w:r>
      <w:r>
        <w:t xml:space="preserve"> </w:t>
      </w:r>
      <w:r>
        <w:t xml:space="preserve">Healthcare Analytics Division</w:t>
      </w:r>
      <w:r>
        <w:br/>
      </w:r>
      <w:r>
        <w:rPr>
          <w:bCs/>
          <w:b/>
        </w:rPr>
        <w:t xml:space="preserve">Institution:</w:t>
      </w:r>
      <w:r>
        <w:t xml:space="preserve"> </w:t>
      </w:r>
      <w:r>
        <w:t xml:space="preserve">Metropolitan Sydney Primary Care Network (MSPCN)</w:t>
      </w:r>
      <w:r>
        <w:br/>
      </w:r>
      <w:r>
        <w:rPr>
          <w:bCs/>
          <w:b/>
        </w:rPr>
        <w:t xml:space="preserve">Contact:</w:t>
      </w:r>
      <w:r>
        <w:t xml:space="preserve"> </w:t>
      </w:r>
      <w:r>
        <w:t xml:space="preserve">analytics@mspconline.org.au</w:t>
      </w:r>
    </w:p>
    <w:p>
      <w:r>
        <w:pict>
          <v:rect style="width:0;height:1.5pt" o:hralign="center" o:hrstd="t" o:hr="t"/>
        </w:pict>
      </w:r>
    </w:p>
    <w:p>
      <w:pPr>
        <w:pStyle w:val="FirstParagraph"/>
      </w:pPr>
      <w:r>
        <w:rPr>
          <w:iCs/>
          <w:i/>
        </w:rPr>
        <w:t xml:space="preserve">This document is prepared for internal strategic use by healthcare providers within Australia Sydney. All statistics based on aggregated Medicare data and internal clinic records (July-September 2023). Compliance with Australian Privacy Principles and Health Records Act 2001 confirmed.</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Sydney Metropolitan General Practitioner Service Performance Report</dc:title>
  <dc:creator/>
  <dc:language>en</dc:language>
  <cp:keywords/>
  <dcterms:created xsi:type="dcterms:W3CDTF">2026-07-21T10:39:57Z</dcterms:created>
  <dcterms:modified xsi:type="dcterms:W3CDTF">2026-07-21T10:39:57Z</dcterms:modified>
</cp:coreProperties>
</file>

<file path=docProps/custom.xml><?xml version="1.0" encoding="utf-8"?>
<Properties xmlns="http://schemas.openxmlformats.org/officeDocument/2006/custom-properties" xmlns:vt="http://schemas.openxmlformats.org/officeDocument/2006/docPropsVTypes"/>
</file>