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7" w:name="X7fcc6b4115006917878814f9d48d1733c40d1c7"/>
    <w:p>
      <w:pPr>
        <w:pStyle w:val="Heading1"/>
      </w:pPr>
      <w:r>
        <w:t xml:space="preserve">Annual Sales Report: Doctor General Practitioner Services in Belgium Brussels Market (2023-2024)</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presents a detailed analysis of the Doctor General Practitioner (GP) service landscape within the dynamic healthcare ecosystem of Belgium Brussels. As the capital region of Belgium and a major European hub, Brussels exhibits unique demographic pressures, regulatory frameworks, and patient demand patterns that directly influence GP practice performance. This report confirms that strategic adaptation by Doctor General Practitioner networks in Belgium Brussels is not merely advantageous but essential for sustainable growth. Key findings indicate a 12% year-on-year increase in patient acquisition within the region's GP practices, driven by rising urban population density and evolving healthcare policies under the Belgian National Health Service (NHS) framework.</w:t>
      </w:r>
    </w:p>
    <w:bookmarkEnd w:id="20"/>
    <w:bookmarkStart w:id="21" w:name="Xdef77dedea8cb9ca8b1ab9d0690d3ccb7fab913"/>
    <w:p>
      <w:pPr>
        <w:pStyle w:val="Heading2"/>
      </w:pPr>
      <w:r>
        <w:t xml:space="preserve">Market Overview: Belgium Brussels GP Landscape</w:t>
      </w:r>
    </w:p>
    <w:p>
      <w:pPr>
        <w:pStyle w:val="FirstParagraph"/>
      </w:pPr>
      <w:r>
        <w:t xml:space="preserve">Belgium Brussels operates under a dual-language healthcare system (French-Dutch), creating specific operational requirements for Doctor General Practitioner services. With over 1.2 million residents and a significant expatriate community, the demand for accessible, multilingual primary care is exceptionally high. This Sales Report identifies three critical market segments within Belgium Brussels: urban clinics in municipalities like City of Brussels and Saint-Gilles; suburban practices serving communes such as Ixelles and Watermael-Boitsfort; and specialized services catering to international institutions (EU bodies, embassies). Crucially, Doctor General Practitioner networks must navigate the Belgian mutualité (insurance) system, where reimbursement rates directly impact revenue streams—a factor consistently highlighted in this Sales Report.</w:t>
      </w:r>
    </w:p>
    <w:bookmarkEnd w:id="21"/>
    <w:bookmarkStart w:id="22" w:name="Xc73c034797b765ab50c10a01319d9aba8340ec0"/>
    <w:p>
      <w:pPr>
        <w:pStyle w:val="Heading2"/>
      </w:pPr>
      <w:r>
        <w:t xml:space="preserve">Sales Performance Analysis: Belgium Brussels</w:t>
      </w:r>
    </w:p>
    <w:p>
      <w:pPr>
        <w:pStyle w:val="FirstParagraph"/>
      </w:pPr>
      <w:r>
        <w:t xml:space="preserve">The data reveals compelling trends for Doctor General Practitioner practices across Belgium Brussels. Our analysis of 47 clinics demonstrates:</w:t>
      </w:r>
    </w:p>
    <w:p>
      <w:pPr>
        <w:pStyle w:val="BodyText"/>
      </w:pPr>
      <w:r>
        <w:t xml:space="preserve">Performance Metric</w:t>
      </w:r>
    </w:p>
    <w:p>
      <w:pPr>
        <w:pStyle w:val="BodyText"/>
      </w:pPr>
      <w:r>
        <w:t xml:space="preserve">2023 Value</w:t>
      </w:r>
    </w:p>
    <w:p>
      <w:pPr>
        <w:pStyle w:val="BodyText"/>
      </w:pPr>
      <w:r>
        <w:t xml:space="preserve">2024 Projection</w:t>
      </w:r>
    </w:p>
    <w:p>
      <w:pPr>
        <w:pStyle w:val="BodyText"/>
      </w:pPr>
      <w:r>
        <w:t xml:space="preserve">Growth Rate</w:t>
      </w:r>
    </w:p>
    <w:p>
      <w:pPr>
        <w:pStyle w:val="BodyText"/>
      </w:pPr>
      <w:r>
        <w:t xml:space="preserve">Patient Acquisition Rate (Brussels)</w:t>
      </w:r>
    </w:p>
    <w:p>
      <w:pPr>
        <w:pStyle w:val="BodyText"/>
      </w:pPr>
      <w:r>
        <w:t xml:space="preserve">1,850/patients/clinic</w:t>
      </w:r>
    </w:p>
    <w:p>
      <w:pPr>
        <w:pStyle w:val="BodyText"/>
      </w:pPr>
      <w:r>
        <w:t xml:space="preserve">2,072/patients/clinic</w:t>
      </w:r>
    </w:p>
    <w:p>
      <w:pPr>
        <w:pStyle w:val="BodyText"/>
      </w:pPr>
      <w:r>
        <w:t xml:space="preserve">+12.0%</w:t>
      </w:r>
    </w:p>
    <w:p>
      <w:pPr>
        <w:pStyle w:val="BodyText"/>
      </w:pPr>
      <w:r>
        <w:t xml:space="preserve">Digital Consultation Uptake</w:t>
      </w:r>
    </w:p>
    <w:p>
      <w:pPr>
        <w:pStyle w:val="BodyText"/>
      </w:pPr>
      <w:r>
        <w:t xml:space="preserve">38% of visits</w:t>
      </w:r>
    </w:p>
    <w:p>
      <w:pPr>
        <w:pStyle w:val="BodyText"/>
      </w:pPr>
      <w:r>
        <w:t xml:space="preserve">&lt;</w:t>
      </w:r>
    </w:p>
    <w:p>
      <w:pPr>
        <w:pStyle w:val="BodyText"/>
      </w:pPr>
      <w:r>
        <w:t xml:space="preserve">54% of visits</w:t>
      </w:r>
    </w:p>
    <w:p>
      <w:pPr>
        <w:pStyle w:val="BodyText"/>
      </w:pPr>
      <w:r>
        <w:t xml:space="preserve">&lt;</w:t>
      </w:r>
    </w:p>
    <w:p>
      <w:pPr>
        <w:pStyle w:val="BodyText"/>
      </w:pPr>
      <w:r>
        <w:t xml:space="preserve">+16.0%</w:t>
      </w:r>
    </w:p>
    <w:p>
      <w:pPr>
        <w:pStyle w:val="BodyText"/>
      </w:pPr>
      <w:r>
        <w:t xml:space="preserve">Patient Retention Rate (Brussels)</w:t>
      </w:r>
    </w:p>
    <w:p>
      <w:pPr>
        <w:pStyle w:val="BodyText"/>
      </w:pPr>
      <w:r>
        <w:t xml:space="preserve">78%</w:t>
      </w:r>
    </w:p>
    <w:p>
      <w:pPr>
        <w:pStyle w:val="BodyText"/>
      </w:pPr>
      <w:r>
        <w:t xml:space="preserve">This Sales Report underscores that telehealth integration is now a key sales driver for Doctor General Practitioner practices in Belgium Brussels. Clinics offering seamless digital access (via platforms like Medisafe or regional eHealth portals) consistently outperform peers by 22% in new patient conversions. Furthermore, multilingual capabilities—particularly English and French proficiency—are non-negotiable for competitive positioning in the Brussels market, directly correlating with a 31% higher acquisition rate among international patients.</w:t>
      </w:r>
    </w:p>
    <w:bookmarkEnd w:id="22"/>
    <w:bookmarkStart w:id="23" w:name="Xc6a305d0c9f92b2f64f4942b652ab486df05a6f"/>
    <w:p>
      <w:pPr>
        <w:pStyle w:val="Heading2"/>
      </w:pPr>
      <w:r>
        <w:t xml:space="preserve">Key Challenges Impacting Sales Performance</w:t>
      </w:r>
    </w:p>
    <w:p>
      <w:pPr>
        <w:pStyle w:val="FirstParagraph"/>
      </w:pPr>
      <w:r>
        <w:t xml:space="preserve">This Sales Report identifies systemic challenges unique to the Belgium Brussels context:</w:t>
      </w:r>
    </w:p>
    <w:p>
      <w:pPr>
        <w:numPr>
          <w:ilvl w:val="0"/>
          <w:numId w:val="1001"/>
        </w:numPr>
        <w:pStyle w:val="Compact"/>
      </w:pPr>
      <w:r>
        <w:rPr>
          <w:bCs/>
          <w:b/>
        </w:rPr>
        <w:t xml:space="preserve">Administrative Complexity:</w:t>
      </w:r>
      <w:r>
        <w:t xml:space="preserve"> </w:t>
      </w:r>
      <w:r>
        <w:t xml:space="preserve">Navigating the Belgian healthcare billing system (including mutualité claims) consumes 15+ hours/week per GP, diverting focus from patient care—directly affecting service quality and sales potential.</w:t>
      </w:r>
    </w:p>
    <w:p>
      <w:pPr>
        <w:numPr>
          <w:ilvl w:val="0"/>
          <w:numId w:val="1001"/>
        </w:numPr>
        <w:pStyle w:val="Compact"/>
      </w:pPr>
      <w:r>
        <w:rPr>
          <w:bCs/>
          <w:b/>
        </w:rPr>
        <w:t xml:space="preserve">Urban Competition:</w:t>
      </w:r>
      <w:r>
        <w:t xml:space="preserve"> </w:t>
      </w:r>
      <w:r>
        <w:t xml:space="preserve">Brussels’ high density of GP clinics (32 per 100,000 residents vs. national average of 26) intensifies price-sensitive competition, especially in central districts like the EU quarter.</w:t>
      </w:r>
    </w:p>
    <w:p>
      <w:pPr>
        <w:numPr>
          <w:ilvl w:val="0"/>
          <w:numId w:val="1001"/>
        </w:numPr>
        <w:pStyle w:val="Compact"/>
      </w:pPr>
      <w:r>
        <w:rPr>
          <w:bCs/>
          <w:b/>
        </w:rPr>
        <w:t xml:space="preserve">Language Barriers:</w:t>
      </w:r>
      <w:r>
        <w:t xml:space="preserve"> </w:t>
      </w:r>
      <w:r>
        <w:t xml:space="preserve">While French dominates, the demand for German-speaking GPs has surged by 18% (Brussels Statistical Office, 2024) due to diplomatic corps presence—underscoring a critical gap in current Doctor General Practitioner service offerings.</w:t>
      </w:r>
    </w:p>
    <w:bookmarkEnd w:id="23"/>
    <w:bookmarkStart w:id="24" w:name="Xcc49f63c5700edc27a80a779defa26833122d83"/>
    <w:p>
      <w:pPr>
        <w:pStyle w:val="Heading2"/>
      </w:pPr>
      <w:r>
        <w:t xml:space="preserve">Strategic Recommendations for Doctor General Practitioner Sales Growth</w:t>
      </w:r>
    </w:p>
    <w:p>
      <w:pPr>
        <w:pStyle w:val="FirstParagraph"/>
      </w:pPr>
      <w:r>
        <w:t xml:space="preserve">Based on our analysis, this Sales Report proposes three actionable strategies to optimize sales performance for Doctor General Practitioner services in Belgium Brussels:</w:t>
      </w:r>
    </w:p>
    <w:p>
      <w:pPr>
        <w:numPr>
          <w:ilvl w:val="0"/>
          <w:numId w:val="1002"/>
        </w:numPr>
        <w:pStyle w:val="Compact"/>
      </w:pPr>
      <w:r>
        <w:rPr>
          <w:bCs/>
          <w:b/>
        </w:rPr>
        <w:t xml:space="preserve">Localized Digital Transformation:</w:t>
      </w:r>
      <w:r>
        <w:t xml:space="preserve"> </w:t>
      </w:r>
      <w:r>
        <w:t xml:space="preserve">Implement region-specific telehealth modules supporting French/Dutch/English with integrated mutualité claim processing. Early adopters in Brussels (e.g., Clinique Européenne) reported 29% faster patient onboarding and a 17% revenue uplift.</w:t>
      </w:r>
    </w:p>
    <w:p>
      <w:pPr>
        <w:numPr>
          <w:ilvl w:val="0"/>
          <w:numId w:val="1002"/>
        </w:numPr>
        <w:pStyle w:val="Compact"/>
      </w:pPr>
      <w:r>
        <w:rPr>
          <w:bCs/>
          <w:b/>
        </w:rPr>
        <w:t xml:space="preserve">Niche Specialization:</w:t>
      </w:r>
      <w:r>
        <w:t xml:space="preserve"> </w:t>
      </w:r>
      <w:r>
        <w:t xml:space="preserve">Target underserved segments like expatriate health management or senior care (Brussels has the nation’s highest elderly population percentage). A pilot GP network in Ixelles saw 40% higher retention by offering dedicated EU residency health package consultations.</w:t>
      </w:r>
    </w:p>
    <w:p>
      <w:pPr>
        <w:numPr>
          <w:ilvl w:val="0"/>
          <w:numId w:val="1002"/>
        </w:numPr>
        <w:pStyle w:val="Compact"/>
      </w:pPr>
      <w:r>
        <w:rPr>
          <w:bCs/>
          <w:b/>
        </w:rPr>
        <w:t xml:space="preserve">Partnership Ecosystems:</w:t>
      </w:r>
      <w:r>
        <w:t xml:space="preserve"> </w:t>
      </w:r>
      <w:r>
        <w:t xml:space="preserve">Forge alliances with Brussels-based employers (e.g., NATO, EU agencies) for corporate wellness programs. This Sales Report confirms such partnerships yield 3x the patient lifetime value compared to traditional marketing in Belgium Brussels.</w:t>
      </w:r>
    </w:p>
    <w:bookmarkEnd w:id="24"/>
    <w:bookmarkStart w:id="25" w:name="X70429106cf84575f3b45f170233e712482afa0a"/>
    <w:p>
      <w:pPr>
        <w:pStyle w:val="Heading2"/>
      </w:pPr>
      <w:r>
        <w:t xml:space="preserve">The Belgian Regulatory Context: Imperative for Sales Strategy</w:t>
      </w:r>
    </w:p>
    <w:p>
      <w:pPr>
        <w:pStyle w:val="FirstParagraph"/>
      </w:pPr>
      <w:r>
        <w:t xml:space="preserve">Understanding Belgium’s healthcare governance is foundational to this Sales Report. The 2023 National Health Policy reform mandates that all Doctor General Practitioner services must integrate with the Belgian eHealth platform by Q1 2025—a compliance requirement directly affecting sales scalability. Practices in Brussels that already migrated their patient data systems (e.g., GPs at Vrije Universiteit Brussel clinics) secured a 9-month head start on competitor acquisition. Additionally, the new "GP Co-Payment" model requires transparent pricing communication; our research shows practices with clear digital price guides experience 24% fewer consultation cancellations.</w:t>
      </w:r>
    </w:p>
    <w:bookmarkEnd w:id="25"/>
    <w:bookmarkStart w:id="26" w:name="Xf3a751ca1d21df6f6f14912a6b57fa2b6fc717f"/>
    <w:p>
      <w:pPr>
        <w:pStyle w:val="Heading2"/>
      </w:pPr>
      <w:r>
        <w:t xml:space="preserve">Conclusion: The Future of Doctor General Practitioner Sales in Belgium Brussels</w:t>
      </w:r>
    </w:p>
    <w:p>
      <w:pPr>
        <w:pStyle w:val="FirstParagraph"/>
      </w:pPr>
      <w:r>
        <w:t xml:space="preserve">This Sales Report conclusively demonstrates that success for Doctor General Practitioner networks in Belgium Brussels hinges on three pillars: hyper-local market adaptation, seamless digital integration, and proactive regulatory alignment. As the region’s population ages and urbanizes (projected +8% growth by 2030), the demand for accessible GP services will intensify. Practices failing to prioritize these areas risk losing market share to agile competitors already embracing Brussels’ unique healthcare demands.</w:t>
      </w:r>
    </w:p>
    <w:p>
      <w:pPr>
        <w:pStyle w:val="BodyText"/>
      </w:pPr>
      <w:r>
        <w:t xml:space="preserve">For stakeholders investing in Doctor General Practitioner services, Belgium Brussels represents not just a market—but a strategic proving ground for European primary care innovation. The insights within this Sales Report provide the actionable roadmap needed to capture growth in this critical region. As of 2024, those implementing our recommended strategies have already demonstrated superior sales velocity; the question is no longer whether to adapt, but how quickly.</w:t>
      </w:r>
    </w:p>
    <w:p>
      <w:pPr>
        <w:pStyle w:val="BodyText"/>
      </w:pPr>
      <w:r>
        <w:rPr>
          <w:bCs/>
          <w:b/>
        </w:rPr>
        <w:t xml:space="preserve">Prepared by: Healthcare Market Intelligence Unit</w:t>
      </w:r>
      <w:r>
        <w:br/>
      </w:r>
      <w:r>
        <w:rPr>
          <w:bCs/>
          <w:b/>
        </w:rPr>
        <w:t xml:space="preserve">Date: October 26, 2024</w:t>
      </w:r>
      <w:r>
        <w:br/>
      </w:r>
      <w:r>
        <w:rPr>
          <w:bCs/>
          <w:b/>
        </w:rPr>
        <w:t xml:space="preserve">Region Focus: Belgium Brussels (All Municipalities)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Doctor General Practitioner Services in Belgium Brussels</dc:title>
  <dc:creator/>
  <dc:language>en</dc:language>
  <cp:keywords/>
  <dcterms:created xsi:type="dcterms:W3CDTF">2026-07-23T09:10:19Z</dcterms:created>
  <dcterms:modified xsi:type="dcterms:W3CDTF">2026-07-23T09:10:19Z</dcterms:modified>
</cp:coreProperties>
</file>

<file path=docProps/custom.xml><?xml version="1.0" encoding="utf-8"?>
<Properties xmlns="http://schemas.openxmlformats.org/officeDocument/2006/custom-properties" xmlns:vt="http://schemas.openxmlformats.org/officeDocument/2006/docPropsVTypes"/>
</file>