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babe69b694d27724d7dfc2fa03c1ed982c079b2"/>
    <w:p>
      <w:pPr>
        <w:pStyle w:val="Heading1"/>
      </w:pPr>
      <w:r>
        <w:t xml:space="preserve">ANNUAL SALES REPORT: DOCTOR GENERAL PRACTITIONER SERVICES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Medical Practice Management Team</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Doctor General Practitioner (GP) services across São Paulo, Brazil. Serving over 18,500 active patients in the metropolitan region, our practice achieved a 14.7% year-over-year revenue growth despite challenging healthcare market conditions in Brazil São Paulo. The report analyzes patient acquisition trends, service utilization patterns, and strategic initiatives that positioned us as a leading primary care provider in one of Latin America's most competitive medical markets. Our focus on integrated care delivery and community health engagement directly contributed to exceeding sales targets by 18% while maintaining exceptional patient satisfaction scores (94.2%) across all São Paulo clinics.</w:t>
      </w:r>
    </w:p>
    <w:bookmarkEnd w:id="20"/>
    <w:bookmarkStart w:id="21" w:name="X6a68af225d0ce1507d50e27e8a54f87864763db"/>
    <w:p>
      <w:pPr>
        <w:pStyle w:val="Heading2"/>
      </w:pPr>
      <w:r>
        <w:t xml:space="preserve">II. Market Context: Brazil São Paulo Healthcare Landscape</w:t>
      </w:r>
    </w:p>
    <w:p>
      <w:pPr>
        <w:pStyle w:val="FirstParagraph"/>
      </w:pPr>
      <w:r>
        <w:t xml:space="preserve">São Paulo represents Brazil's largest healthcare market, accounting for 15% of the nation's medical services revenue. With a population exceeding 22 million residents in the metro area alone, demand for accessible primary care remains critically high. The Brazilian Unified Health System (SUS) serves 70% of São Paulo's population, but private GP practices like ours fill essential gaps in preventive care and specialized follow-up services. Our Sales Report confirms that São Paulo's middle-class demographic – comprising 58% of our patient base – increasingly seeks value-driven private consultations as they navigate the complexities of Brazil's dual healthcare system.</w:t>
      </w:r>
    </w:p>
    <w:bookmarkEnd w:id="21"/>
    <w:bookmarkStart w:id="22" w:name="X3727ccd8eb8ea5f26875780a9d5f5a984ca0b91"/>
    <w:p>
      <w:pPr>
        <w:pStyle w:val="Heading2"/>
      </w:pPr>
      <w:r>
        <w:t xml:space="preserve">III. Patient Acquisition &amp; Service Utilization (Brazil São Paulo Focus)</w:t>
      </w:r>
    </w:p>
    <w:p>
      <w:pPr>
        <w:pStyle w:val="FirstParagraph"/>
      </w:pPr>
      <w:r>
        <w:t xml:space="preserve">Our Doctor General Practitioner practice demonstrated exceptional growth in patient acquisition across São Paulo's key districts:</w:t>
      </w:r>
    </w:p>
    <w:p>
      <w:pPr>
        <w:numPr>
          <w:ilvl w:val="0"/>
          <w:numId w:val="1001"/>
        </w:numPr>
        <w:pStyle w:val="Compact"/>
      </w:pPr>
      <w:r>
        <w:rPr>
          <w:bCs/>
          <w:b/>
        </w:rPr>
        <w:t xml:space="preserve">Copacabana &amp; Jardins:</w:t>
      </w:r>
      <w:r>
        <w:t xml:space="preserve"> </w:t>
      </w:r>
      <w:r>
        <w:t xml:space="preserve">37% YoY increase in new patients (5,200 total) through targeted digital campaigns addressing urban health concerns</w:t>
      </w:r>
    </w:p>
    <w:p>
      <w:pPr>
        <w:numPr>
          <w:ilvl w:val="0"/>
          <w:numId w:val="1001"/>
        </w:numPr>
        <w:pStyle w:val="Compact"/>
      </w:pPr>
      <w:r>
        <w:rPr>
          <w:bCs/>
          <w:b/>
        </w:rPr>
        <w:t xml:space="preserve">Greater São Paulo Suburbs:</w:t>
      </w:r>
      <w:r>
        <w:t xml:space="preserve"> </w:t>
      </w:r>
      <w:r>
        <w:t xml:space="preserve">28% growth in low-income community clinics via partnerships with municipal health centers</w:t>
      </w:r>
    </w:p>
    <w:p>
      <w:pPr>
        <w:numPr>
          <w:ilvl w:val="0"/>
          <w:numId w:val="1001"/>
        </w:numPr>
        <w:pStyle w:val="Compact"/>
      </w:pPr>
      <w:r>
        <w:rPr>
          <w:bCs/>
          <w:b/>
        </w:rPr>
        <w:t xml:space="preserve">Patient Retention:</w:t>
      </w:r>
      <w:r>
        <w:t xml:space="preserve"> </w:t>
      </w:r>
      <w:r>
        <w:t xml:space="preserve">89.5% return rate for annual check-ups (vs. national average of 76%) due to our personalized care model</w:t>
      </w:r>
    </w:p>
    <w:p>
      <w:pPr>
        <w:pStyle w:val="FirstParagraph"/>
      </w:pPr>
      <w:r>
        <w:t xml:space="preserve">The Sales Report reveals a significant shift toward preventive care services: 42% of all consultations now focus on chronic disease management (diabetes, hypertension) rather than acute symptoms – a direct response to Brazil's rising non-communicable disease burden. We've successfully integrated telemedicine into our Doctor General Practitioner workflow, increasing virtual visit volume by 150% in São Paulo during the reporting period.</w:t>
      </w:r>
    </w:p>
    <w:bookmarkEnd w:id="22"/>
    <w:bookmarkStart w:id="23" w:name="X8dfd4e9b0551cc7edd4c13d8c8f6d5ca9cb0797"/>
    <w:p>
      <w:pPr>
        <w:pStyle w:val="Heading2"/>
      </w:pPr>
      <w:r>
        <w:t xml:space="preserve">IV. Revenue Analysis &amp; Financial Performance</w:t>
      </w:r>
    </w:p>
    <w:p>
      <w:pPr>
        <w:pStyle w:val="FirstParagraph"/>
      </w:pPr>
      <w:r>
        <w:t xml:space="preserve">Our financial results demonstrate sustainable growth across all service lines:</w:t>
      </w:r>
    </w:p>
    <w:p>
      <w:pPr>
        <w:pStyle w:val="BodyText"/>
      </w:pPr>
      <w:r>
        <w:t xml:space="preserve">Service Line</w:t>
      </w:r>
    </w:p>
    <w:p>
      <w:pPr>
        <w:pStyle w:val="BodyText"/>
      </w:pPr>
      <w:r>
        <w:t xml:space="preserve">Revenue (BRL)</w:t>
      </w:r>
    </w:p>
    <w:p>
      <w:pPr>
        <w:pStyle w:val="BodyText"/>
      </w:pPr>
      <w:r>
        <w:t xml:space="preserve">% of Total Revenue</w:t>
      </w:r>
    </w:p>
    <w:p>
      <w:pPr>
        <w:pStyle w:val="BodyText"/>
      </w:pPr>
      <w:r>
        <w:t xml:space="preserve">YoY Change</w:t>
      </w:r>
    </w:p>
    <w:p>
      <w:pPr>
        <w:pStyle w:val="BodyText"/>
      </w:pPr>
      <w:r>
        <w:t xml:space="preserve">Standard Consultations (In-Person)</w:t>
      </w:r>
    </w:p>
    <w:p>
      <w:pPr>
        <w:pStyle w:val="BodyText"/>
      </w:pPr>
      <w:r>
        <w:t xml:space="preserve">R$ 1,285,000</w:t>
      </w:r>
    </w:p>
    <w:p>
      <w:pPr>
        <w:pStyle w:val="BodyText"/>
      </w:pPr>
      <w:r>
        <w:t xml:space="preserve">47.6%</w:t>
      </w:r>
    </w:p>
    <w:p>
      <w:pPr>
        <w:pStyle w:val="BodyText"/>
      </w:pPr>
      <w:r>
        <w:t xml:space="preserve">+12.3%</w:t>
      </w:r>
    </w:p>
    <w:p>
      <w:pPr>
        <w:pStyle w:val="BodyText"/>
      </w:pPr>
      <w:r>
        <w:t xml:space="preserve">Telemedicine Consultations</w:t>
      </w:r>
    </w:p>
    <w:p>
      <w:pPr>
        <w:pStyle w:val="BodyText"/>
      </w:pPr>
      <w:r>
        <w:t xml:space="preserve">R$ 689,500</w:t>
      </w:r>
    </w:p>
    <w:p>
      <w:pPr>
        <w:pStyle w:val="BodyText"/>
      </w:pPr>
      <w:r>
        <w:rPr>
          <w:iCs/>
          <w:i/>
          <w:bCs/>
          <w:b/>
        </w:rPr>
        <w:t xml:space="preserve">25.7%</w:t>
      </w:r>
    </w:p>
    <w:p>
      <w:pPr>
        <w:pStyle w:val="BodyText"/>
      </w:pPr>
      <w:r>
        <w:br/>
      </w:r>
    </w:p>
    <w:p>
      <w:pPr>
        <w:pStyle w:val="BodyText"/>
      </w:pPr>
      <w:r>
        <w:t xml:space="preserve">+152.1%</w:t>
      </w:r>
    </w:p>
    <w:p>
      <w:pPr>
        <w:pStyle w:val="BodyText"/>
      </w:pPr>
      <w:r>
        <w:t xml:space="preserve">Chronic Disease Management Programs</w:t>
      </w:r>
    </w:p>
    <w:p>
      <w:pPr>
        <w:pStyle w:val="BodyText"/>
      </w:pPr>
      <w:r>
        <w:t xml:space="preserve">R$ 438,700</w:t>
      </w:r>
    </w:p>
    <w:p>
      <w:pPr>
        <w:pStyle w:val="BodyText"/>
      </w:pPr>
      <w:r>
        <w:t xml:space="preserve">16.4%</w:t>
      </w:r>
    </w:p>
    <w:p>
      <w:pPr>
        <w:pStyle w:val="BodyText"/>
      </w:pPr>
      <w:r>
        <w:t xml:space="preserve">+38.9%</w:t>
      </w:r>
    </w:p>
    <w:p>
      <w:pPr>
        <w:pStyle w:val="BodyText"/>
      </w:pPr>
      <w:r>
        <w:t xml:space="preserve">Laboratory &amp; Diagnostic Services (Integrated)</w:t>
      </w:r>
    </w:p>
    <w:p>
      <w:pPr>
        <w:pStyle w:val="BodyText"/>
      </w:pPr>
      <w:r>
        <w:t xml:space="preserve">R$ 295,600</w:t>
      </w:r>
    </w:p>
    <w:p>
      <w:pPr>
        <w:pStyle w:val="BodyText"/>
      </w:pPr>
      <w:r>
        <w:t xml:space="preserve">11.0%</w:t>
      </w:r>
    </w:p>
    <w:p>
      <w:pPr>
        <w:pStyle w:val="BodyText"/>
      </w:pPr>
      <w:r>
        <w:t xml:space="preserve">+24.5%</w:t>
      </w:r>
    </w:p>
    <w:p>
      <w:pPr>
        <w:pStyle w:val="BodyText"/>
      </w:pPr>
      <w:r>
        <w:t xml:space="preserve">Notable insight from the Sales Report: Our integrated model – where Doctor General Practitioner services directly manage diagnostic workflows – reduced patient no-show rates by 33% while increasing ancillary service revenue. This vertical integration strategy has proven particularly effective in Brazil São Paulo, where fragmented healthcare access often leads to delayed diagnoses.</w:t>
      </w:r>
    </w:p>
    <w:bookmarkEnd w:id="23"/>
    <w:bookmarkStart w:id="24" w:name="X00e3b5c128f6c70cf1f6c68a9d395439c35d40f"/>
    <w:p>
      <w:pPr>
        <w:pStyle w:val="Heading2"/>
      </w:pPr>
      <w:r>
        <w:t xml:space="preserve">V. Competitive Differentiation in São Paulo's GP Market</w:t>
      </w:r>
    </w:p>
    <w:p>
      <w:pPr>
        <w:pStyle w:val="FirstParagraph"/>
      </w:pPr>
      <w:r>
        <w:t xml:space="preserve">Our Sales Report identifies three strategic advantages over competing practices in Brazil São Paulo:</w:t>
      </w:r>
    </w:p>
    <w:p>
      <w:pPr>
        <w:numPr>
          <w:ilvl w:val="0"/>
          <w:numId w:val="1002"/>
        </w:numPr>
        <w:pStyle w:val="Compact"/>
      </w:pPr>
      <w:r>
        <w:rPr>
          <w:bCs/>
          <w:b/>
        </w:rPr>
        <w:t xml:space="preserve">Cultural Competency:</w:t>
      </w:r>
      <w:r>
        <w:t xml:space="preserve"> </w:t>
      </w:r>
      <w:r>
        <w:t xml:space="preserve">Multilingual staff (Portuguese, English, Spanish) addressing the diverse immigrant communities across São Paulo's 96 districts.</w:t>
      </w:r>
    </w:p>
    <w:p>
      <w:pPr>
        <w:numPr>
          <w:ilvl w:val="0"/>
          <w:numId w:val="1002"/>
        </w:numPr>
        <w:pStyle w:val="Compact"/>
      </w:pPr>
      <w:r>
        <w:rPr>
          <w:bCs/>
          <w:b/>
        </w:rPr>
        <w:t xml:space="preserve">Technology Integration:</w:t>
      </w:r>
      <w:r>
        <w:t xml:space="preserve"> </w:t>
      </w:r>
      <w:r>
        <w:t xml:space="preserve">Adoption of Brazil's new e-SUS platform for seamless electronic health records sharing with public hospitals – a first among private GP networks in the region.</w:t>
      </w:r>
    </w:p>
    <w:p>
      <w:pPr>
        <w:numPr>
          <w:ilvl w:val="0"/>
          <w:numId w:val="1002"/>
        </w:numPr>
        <w:pStyle w:val="Compact"/>
      </w:pPr>
      <w:r>
        <w:rPr>
          <w:bCs/>
          <w:b/>
        </w:rPr>
        <w:t xml:space="preserve">Community Health Partnerships:</w:t>
      </w:r>
      <w:r>
        <w:t xml:space="preserve"> </w:t>
      </w:r>
      <w:r>
        <w:t xml:space="preserve">Collaborations with 12 local NGOs to provide free screenings in underserved favelas, generating 43% of our new patient base from previously inaccessible populations.</w:t>
      </w:r>
    </w:p>
    <w:p>
      <w:pPr>
        <w:pStyle w:val="FirstParagraph"/>
      </w:pPr>
      <w:r>
        <w:t xml:space="preserve">These initiatives directly address Brazil's healthcare inequality challenges while building brand trust. The Sales Report confirms that 78% of new patients cited "community engagement" as their primary reason for choosing our Doctor General Practitioner services over competitors.</w:t>
      </w:r>
    </w:p>
    <w:bookmarkEnd w:id="24"/>
    <w:bookmarkStart w:id="25" w:name="X950122cffb957ef05831f290e229f802fe5099d"/>
    <w:p>
      <w:pPr>
        <w:pStyle w:val="Heading2"/>
      </w:pPr>
      <w:r>
        <w:t xml:space="preserve">VI. Regulatory Compliance &amp; Healthcare Reforms (Brazil Context)</w:t>
      </w:r>
    </w:p>
    <w:p>
      <w:pPr>
        <w:pStyle w:val="FirstParagraph"/>
      </w:pPr>
      <w:r>
        <w:t xml:space="preserve">Navigating Brazil's complex healthcare regulations was a critical success factor. Our Sales Report details full compliance with:</w:t>
      </w:r>
    </w:p>
    <w:p>
      <w:pPr>
        <w:numPr>
          <w:ilvl w:val="0"/>
          <w:numId w:val="1003"/>
        </w:numPr>
        <w:pStyle w:val="Compact"/>
      </w:pPr>
      <w:r>
        <w:rPr>
          <w:bCs/>
          <w:b/>
        </w:rPr>
        <w:t xml:space="preserve">ANVISA Resolution 443/2021:</w:t>
      </w:r>
      <w:r>
        <w:t xml:space="preserve"> </w:t>
      </w:r>
      <w:r>
        <w:t xml:space="preserve">Implementing mandatory telemedicine protocols across all São Paulo locations</w:t>
      </w:r>
    </w:p>
    <w:p>
      <w:pPr>
        <w:numPr>
          <w:ilvl w:val="0"/>
          <w:numId w:val="1003"/>
        </w:numPr>
        <w:pStyle w:val="Compact"/>
      </w:pPr>
      <w:r>
        <w:rPr>
          <w:bCs/>
          <w:b/>
        </w:rPr>
        <w:t xml:space="preserve">National Health Policy (PNS):</w:t>
      </w:r>
      <w:r>
        <w:t xml:space="preserve"> </w:t>
      </w:r>
      <w:r>
        <w:t xml:space="preserve">Aligning chronic disease programs with Brazil's 2030 Health Goals</w:t>
      </w:r>
    </w:p>
    <w:p>
      <w:pPr>
        <w:numPr>
          <w:ilvl w:val="0"/>
          <w:numId w:val="1003"/>
        </w:numPr>
        <w:pStyle w:val="Compact"/>
      </w:pPr>
      <w:r>
        <w:rPr>
          <w:bCs/>
          <w:b/>
        </w:rPr>
        <w:t xml:space="preserve">Data Privacy Law (LGPD):</w:t>
      </w:r>
      <w:r>
        <w:t xml:space="preserve"> </w:t>
      </w:r>
      <w:r>
        <w:t xml:space="preserve">Achieving 100% compliance in electronic health record management</w:t>
      </w:r>
    </w:p>
    <w:p>
      <w:pPr>
        <w:pStyle w:val="FirstParagraph"/>
      </w:pPr>
      <w:r>
        <w:t xml:space="preserve">Proactive regulatory adaptation prevented potential revenue loss from non-compliance fines while positioning us to capitalize on new government incentives for primary care providers in São Paulo.</w:t>
      </w:r>
    </w:p>
    <w:bookmarkEnd w:id="25"/>
    <w:bookmarkStart w:id="26" w:name="vii.-strategic-recommendations-for-2024"/>
    <w:p>
      <w:pPr>
        <w:pStyle w:val="Heading2"/>
      </w:pPr>
      <w:r>
        <w:t xml:space="preserve">VII. Strategic Recommendations for 2024</w:t>
      </w:r>
    </w:p>
    <w:p>
      <w:pPr>
        <w:pStyle w:val="FirstParagraph"/>
      </w:pPr>
      <w:r>
        <w:t xml:space="preserve">Based on our Sales Report findings, we recommend:</w:t>
      </w:r>
    </w:p>
    <w:p>
      <w:pPr>
        <w:numPr>
          <w:ilvl w:val="0"/>
          <w:numId w:val="1004"/>
        </w:numPr>
        <w:pStyle w:val="Compact"/>
      </w:pPr>
      <w:r>
        <w:rPr>
          <w:bCs/>
          <w:b/>
        </w:rPr>
        <w:t xml:space="preserve">Expand Telemedicine Infrastructure:</w:t>
      </w:r>
      <w:r>
        <w:t xml:space="preserve"> </w:t>
      </w:r>
      <w:r>
        <w:t xml:space="preserve">Increase virtual capacity by 75% to serve São Paulo's growing demand for remote consultations (especially in peripheral districts)</w:t>
      </w:r>
    </w:p>
    <w:p>
      <w:pPr>
        <w:numPr>
          <w:ilvl w:val="0"/>
          <w:numId w:val="1004"/>
        </w:numPr>
        <w:pStyle w:val="Compact"/>
      </w:pPr>
      <w:r>
        <w:rPr>
          <w:bCs/>
          <w:b/>
        </w:rPr>
        <w:t xml:space="preserve">Launch Pediatric GP Service Line:</w:t>
      </w:r>
      <w:r>
        <w:t xml:space="preserve"> </w:t>
      </w:r>
      <w:r>
        <w:t xml:space="preserve">Addressing the 32% unmet demand for child-focused primary care identified through our Brazil São Paulo patient surveys</w:t>
      </w:r>
    </w:p>
    <w:bookmarkEnd w:id="26"/>
    <w:bookmarkStart w:id="28" w:name="viii.-conclusion"/>
    <w:p>
      <w:pPr>
        <w:pStyle w:val="Heading2"/>
      </w:pPr>
      <w:r>
        <w:t xml:space="preserve">VIII. Conclusion</w:t>
      </w:r>
    </w:p>
    <w:p>
      <w:pPr>
        <w:pStyle w:val="FirstParagraph"/>
      </w:pPr>
      <w:r>
        <w:t xml:space="preserve">This Annual Sales Report confirms that our Doctor General Practitioner model delivers exceptional value in Brazil São Paulo's demanding healthcare environment. By prioritizing community health integration, technological innovation, and regulatory foresight, we've established sustainable growth beyond market averages while maintaining ethical care standards central to Brazilian medical practice. The 14.7% revenue increase and 94.2% patient satisfaction rate demonstrate that our approach resonates deeply with São Paulo's diverse population.</w:t>
      </w:r>
    </w:p>
    <w:p>
      <w:pPr>
        <w:pStyle w:val="BodyText"/>
      </w:pPr>
      <w:r>
        <w:t xml:space="preserve">As Brazil continues its healthcare modernization journey, our practice remains positioned as a benchmark for quality primary care delivery in São Paulo – proving that comprehensive Doctor General Practitioner services can drive both social impact and commercial success. We recommend doubling down on community partnerships while expanding our telehealth infrastructure to meet the evolving needs of Brazil's most populous city.</w:t>
      </w:r>
    </w:p>
    <w:p>
      <w:pPr>
        <w:pStyle w:val="BodyText"/>
      </w:pPr>
      <w:r>
        <w:rPr>
          <w:bCs/>
          <w:b/>
        </w:rPr>
        <w:t xml:space="preserve">Prepared By:</w:t>
      </w:r>
      <w:r>
        <w:t xml:space="preserve"> </w:t>
      </w:r>
      <w:r>
        <w:t xml:space="preserve">Medical Operations Analytics Team</w:t>
      </w:r>
      <w:r>
        <w:br/>
      </w:r>
      <w:r>
        <w:rPr>
          <w:bCs/>
          <w:b/>
        </w:rPr>
        <w:t xml:space="preserve">Signature:</w:t>
      </w:r>
      <w:r>
        <w:t xml:space="preserve"> </w:t>
      </w:r>
      <w:r>
        <w:t xml:space="preserve">Dr. Ana Silva, Chief Operating Officer</w:t>
      </w:r>
      <w:r>
        <w:br/>
      </w:r>
      <w:r>
        <w:rPr>
          <w:bCs/>
          <w:b/>
        </w:rPr>
        <w:t xml:space="preserve">Contact:</w:t>
      </w:r>
      <w:r>
        <w:t xml:space="preserve"> </w:t>
      </w:r>
      <w:r>
        <w:t xml:space="preserve">ana.silva@medsao.com.br</w:t>
      </w:r>
    </w:p>
    <w:bookmarkStart w:id="27" w:name="X3c4767fb71817aaa8ad56204ba120fa7bd8aa19"/>
    <w:p>
      <w:pPr>
        <w:pStyle w:val="Heading3"/>
      </w:pPr>
      <w:r>
        <w:t xml:space="preserve">*This Sales Report complies with Brazilian Medical Council (CFF) standards for practice analytics and adheres to all data protection requirements under Brazil's LGPD framework.*</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Doctor General Practitioner Services in Brazil São Paulo</dc:title>
  <dc:creator/>
  <dc:language>en</dc:language>
  <cp:keywords/>
  <dcterms:created xsi:type="dcterms:W3CDTF">2026-07-24T17:19:27Z</dcterms:created>
  <dcterms:modified xsi:type="dcterms:W3CDTF">2026-07-24T17:19:27Z</dcterms:modified>
</cp:coreProperties>
</file>

<file path=docProps/custom.xml><?xml version="1.0" encoding="utf-8"?>
<Properties xmlns="http://schemas.openxmlformats.org/officeDocument/2006/custom-properties" xmlns:vt="http://schemas.openxmlformats.org/officeDocument/2006/docPropsVTypes"/>
</file>