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w:t>
      </w:r>
      <w:r>
        <w:t xml:space="preserve"> </w:t>
      </w:r>
      <w:r>
        <w:t xml:space="preserve">Utilization</w:t>
      </w:r>
      <w:r>
        <w:t xml:space="preserve"> </w:t>
      </w:r>
      <w:r>
        <w:t xml:space="preserve">in</w:t>
      </w:r>
      <w:r>
        <w:t xml:space="preserve"> </w:t>
      </w:r>
      <w:r>
        <w:t xml:space="preserve">Toronto,</w:t>
      </w:r>
      <w:r>
        <w:t xml:space="preserve"> </w:t>
      </w:r>
      <w:r>
        <w:t xml:space="preserve">Canada</w:t>
      </w:r>
    </w:p>
    <w:bookmarkStart w:id="27" w:name="Xea815e17dec135df5b7a08bcb966277d86e9714"/>
    <w:p>
      <w:pPr>
        <w:pStyle w:val="Heading1"/>
      </w:pPr>
      <w:r>
        <w:t xml:space="preserve">Annual Service Utilization and Market Analysis Report: General Practitioner Services in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Ontario Ministry of Health &amp; Toronto Healthcare Network Directors</w:t>
      </w:r>
      <w:r>
        <w:br/>
      </w:r>
      <w:r>
        <w:rPr>
          <w:bCs/>
          <w:b/>
        </w:rPr>
        <w:t xml:space="preserve">Prepared By:</w:t>
      </w:r>
      <w:r>
        <w:t xml:space="preserve"> </w:t>
      </w:r>
      <w:r>
        <w:t xml:space="preserve">Canadian Healthcare Market Intelligence Unit</w:t>
      </w:r>
    </w:p>
    <w:bookmarkStart w:id="20" w:name="i.-executive-summary"/>
    <w:p>
      <w:pPr>
        <w:pStyle w:val="Heading2"/>
      </w:pPr>
      <w:r>
        <w:t xml:space="preserve">I. Executive Summary</w:t>
      </w:r>
    </w:p>
    <w:p>
      <w:pPr>
        <w:pStyle w:val="FirstParagraph"/>
      </w:pPr>
      <w:r>
        <w:t xml:space="preserve">This report details the annual performance metrics and service utilization patterns of General Practitioner (GP) services within the Greater Toronto Area (GTA), Canada. While healthcare delivery is fundamentally non-commercial, this document utilizes "Sales Report" terminology to analyze patient volume, service accessibility, and system efficiency – critical metrics for resource allocation in Ontario's publicly funded healthcare model. Toronto faces acute GP access challenges with 28% of residents lacking a consistent family physician (Ontario MDs' Association, 2023), making this analysis essential for strategic planning. The report confirms that effective General Practitioner service delivery remains the cornerstone of primary care in Canada, directly impacting population health outcomes across Toronto's diverse communities.</w:t>
      </w:r>
    </w:p>
    <w:bookmarkEnd w:id="20"/>
    <w:bookmarkStart w:id="21" w:name="X2b85f30243391725114289a9539664dbcdf1b0b"/>
    <w:p>
      <w:pPr>
        <w:pStyle w:val="Heading2"/>
      </w:pPr>
      <w:r>
        <w:t xml:space="preserve">II. Current Service Landscape: Doctor General Practitioner Utilization in Toronto</w:t>
      </w:r>
    </w:p>
    <w:p>
      <w:pPr>
        <w:pStyle w:val="FirstParagraph"/>
      </w:pPr>
      <w:r>
        <w:t xml:space="preserve">Toronto’s healthcare system relies on approximately 10,500 active General Practitioners (GPs) serving a population exceeding 3 million residents. However, utilization metrics reveal significant pressure points:</w:t>
      </w:r>
    </w:p>
    <w:p>
      <w:pPr>
        <w:numPr>
          <w:ilvl w:val="0"/>
          <w:numId w:val="1001"/>
        </w:numPr>
        <w:pStyle w:val="Compact"/>
      </w:pPr>
      <w:r>
        <w:rPr>
          <w:bCs/>
          <w:b/>
        </w:rPr>
        <w:t xml:space="preserve">Appointment Availability:</w:t>
      </w:r>
      <w:r>
        <w:t xml:space="preserve"> </w:t>
      </w:r>
      <w:r>
        <w:t xml:space="preserve">Average wait times for new patient registrations in Toronto have increased to 8.7 weeks (up from 6.2 weeks in 2021), exceeding the Ontario Health Ministerial target of 4 weeks (Ontario Ministry of Health, Q3 Report).</w:t>
      </w:r>
    </w:p>
    <w:p>
      <w:pPr>
        <w:numPr>
          <w:ilvl w:val="0"/>
          <w:numId w:val="1001"/>
        </w:numPr>
        <w:pStyle w:val="Compact"/>
      </w:pPr>
      <w:r>
        <w:rPr>
          <w:bCs/>
          <w:b/>
        </w:rPr>
        <w:t xml:space="preserve">Patient Volume:</w:t>
      </w:r>
      <w:r>
        <w:t xml:space="preserve"> </w:t>
      </w:r>
      <w:r>
        <w:t xml:space="preserve">Established GPs average 1,950 active patients annually – near the provincial cap of 2,500. High-volume clinics in Scarborough and North York report exceeding capacity by 25% during flu season.</w:t>
      </w:r>
    </w:p>
    <w:p>
      <w:pPr>
        <w:numPr>
          <w:ilvl w:val="0"/>
          <w:numId w:val="1001"/>
        </w:numPr>
        <w:pStyle w:val="Compact"/>
      </w:pPr>
      <w:r>
        <w:rPr>
          <w:bCs/>
          <w:b/>
        </w:rPr>
        <w:t xml:space="preserve">Service Mix:</w:t>
      </w:r>
      <w:r>
        <w:t xml:space="preserve"> </w:t>
      </w:r>
      <w:r>
        <w:t xml:space="preserve">Diagnostic services (38%), chronic disease management (31%), preventive care (19%), and acute illness visits (12%) dominate GP interactions. Toronto-specific data shows a 40% higher demand for mental health integration services compared to national averages.</w:t>
      </w:r>
    </w:p>
    <w:bookmarkEnd w:id="21"/>
    <w:bookmarkStart w:id="22" w:name="Xe526a65af76f8407d3d58149f45dcc7f8192a97"/>
    <w:p>
      <w:pPr>
        <w:pStyle w:val="Heading2"/>
      </w:pPr>
      <w:r>
        <w:t xml:space="preserve">III. Market Dynamics: Key Drivers of Demand in Canada Toronto</w:t>
      </w:r>
    </w:p>
    <w:p>
      <w:pPr>
        <w:pStyle w:val="FirstParagraph"/>
      </w:pPr>
      <w:r>
        <w:t xml:space="preserve">Several structural factors uniquely shape the General Practitioner service market in Toronto:</w:t>
      </w:r>
    </w:p>
    <w:p>
      <w:pPr>
        <w:numPr>
          <w:ilvl w:val="0"/>
          <w:numId w:val="1002"/>
        </w:numPr>
        <w:pStyle w:val="Compact"/>
      </w:pPr>
      <w:r>
        <w:rPr>
          <w:bCs/>
          <w:b/>
        </w:rPr>
        <w:t xml:space="preserve">Demographic Pressure:</w:t>
      </w:r>
      <w:r>
        <w:t xml:space="preserve"> </w:t>
      </w:r>
      <w:r>
        <w:t xml:space="preserve">Toronto's population growth (1.8% annually) outpaces GP recruitment. Immigrant communities (45% of GTA residents) face language barriers, increasing reliance on GPs for complex care coordination.</w:t>
      </w:r>
    </w:p>
    <w:p>
      <w:pPr>
        <w:numPr>
          <w:ilvl w:val="0"/>
          <w:numId w:val="1002"/>
        </w:numPr>
        <w:pStyle w:val="Compact"/>
      </w:pPr>
      <w:r>
        <w:rPr>
          <w:bCs/>
          <w:b/>
        </w:rPr>
        <w:t xml:space="preserve">System Fragmentation:</w:t>
      </w:r>
      <w:r>
        <w:t xml:space="preserve"> </w:t>
      </w:r>
      <w:r>
        <w:t xml:space="preserve">Despite Ontario Health Teams (OHTs), 68% of Toronto clinics operate independently, hindering seamless referrals and data sharing – directly impacting service "efficiency" metrics.</w:t>
      </w:r>
    </w:p>
    <w:p>
      <w:pPr>
        <w:numPr>
          <w:ilvl w:val="0"/>
          <w:numId w:val="1002"/>
        </w:numPr>
        <w:pStyle w:val="Compact"/>
      </w:pPr>
      <w:r>
        <w:rPr>
          <w:bCs/>
          <w:b/>
        </w:rPr>
        <w:t xml:space="preserve">Payer Structure:</w:t>
      </w:r>
      <w:r>
        <w:t xml:space="preserve"> </w:t>
      </w:r>
      <w:r>
        <w:t xml:space="preserve">Fee-for-service (FFS) models dominate GP payments in Ontario. This incentivizes volume over complex care, contributing to patient churn (23% annual turnover in Toronto clinics).</w:t>
      </w:r>
    </w:p>
    <w:p>
      <w:pPr>
        <w:numPr>
          <w:ilvl w:val="0"/>
          <w:numId w:val="1002"/>
        </w:numPr>
        <w:pStyle w:val="Compact"/>
      </w:pPr>
      <w:r>
        <w:rPr>
          <w:bCs/>
          <w:b/>
        </w:rPr>
        <w:t xml:space="preserve">Technology Gap:</w:t>
      </w:r>
      <w:r>
        <w:t xml:space="preserve"> </w:t>
      </w:r>
      <w:r>
        <w:t xml:space="preserve">Only 52% of Toronto GPs use integrated electronic health records (EHRs) with provincial databases – a critical factor for service continuity and reducing redundant "sales" of repeat consultations.</w:t>
      </w:r>
    </w:p>
    <w:bookmarkEnd w:id="22"/>
    <w:bookmarkStart w:id="23" w:name="X9139e14aa2cc6874334598370ce416bc7bda4cd"/>
    <w:p>
      <w:pPr>
        <w:pStyle w:val="Heading2"/>
      </w:pPr>
      <w:r>
        <w:t xml:space="preserve">IV. Regional Performance Analysis: Toronto Case Studies</w:t>
      </w:r>
    </w:p>
    <w:p>
      <w:pPr>
        <w:pStyle w:val="FirstParagraph"/>
      </w:pPr>
      <w:r>
        <w:rPr>
          <w:bCs/>
          <w:b/>
        </w:rPr>
        <w:t xml:space="preserve">Scarborough Health Network (SHN):</w:t>
      </w:r>
      <w:r>
        <w:t xml:space="preserve"> </w:t>
      </w:r>
      <w:r>
        <w:t xml:space="preserve">Implemented OHT model in 2021, achieving 97% GP patient retention. Key success: Embedded nurse practitioners reduced GP appointment demand by 35% for routine care – demonstrating how diversified service delivery optimizes "sales" volume without compromising care quality.</w:t>
      </w:r>
    </w:p>
    <w:p>
      <w:pPr>
        <w:pStyle w:val="BodyText"/>
      </w:pPr>
      <w:r>
        <w:rPr>
          <w:bCs/>
          <w:b/>
        </w:rPr>
        <w:t xml:space="preserve">Etobicoke Family Health Team:</w:t>
      </w:r>
      <w:r>
        <w:t xml:space="preserve"> </w:t>
      </w:r>
      <w:r>
        <w:t xml:space="preserve">Faced 12-week wait times in 2022. After adopting telehealth for follow-ups (reducing in-person visits by 45%) and expanding evening/weekend hours, new patient access improved to 6 weeks. This case proves that flexible service models directly enhance "utilization metrics" within Toronto's constrained GP market.</w:t>
      </w:r>
    </w:p>
    <w:p>
      <w:pPr>
        <w:pStyle w:val="BodyText"/>
      </w:pPr>
      <w:r>
        <w:rPr>
          <w:bCs/>
          <w:b/>
        </w:rPr>
        <w:t xml:space="preserve">Westminster Community Clinic (Ridgewood):</w:t>
      </w:r>
      <w:r>
        <w:t xml:space="preserve"> </w:t>
      </w:r>
      <w:r>
        <w:t xml:space="preserve">Serves a high-immigrant population with 70% non-English-speaking patients. Partnering with cultural liaisons reduced no-show rates by 28% – turning potential "lost sales" into successful service completions.</w:t>
      </w:r>
    </w:p>
    <w:bookmarkEnd w:id="23"/>
    <w:bookmarkStart w:id="24" w:name="Xfe1e5d8b6c992a8e082fde95260ba002f8f9d72"/>
    <w:p>
      <w:pPr>
        <w:pStyle w:val="Heading2"/>
      </w:pPr>
      <w:r>
        <w:t xml:space="preserve">V. Critical Challenges: The Toronto GP Access Crisis</w:t>
      </w:r>
    </w:p>
    <w:p>
      <w:pPr>
        <w:pStyle w:val="FirstParagraph"/>
      </w:pPr>
      <w:r>
        <w:t xml:space="preserve">Despite robust infrastructure, Toronto faces systemic barriers affecting General Practitioner service delivery:</w:t>
      </w:r>
    </w:p>
    <w:p>
      <w:pPr>
        <w:numPr>
          <w:ilvl w:val="0"/>
          <w:numId w:val="1003"/>
        </w:numPr>
        <w:pStyle w:val="Compact"/>
      </w:pPr>
      <w:r>
        <w:rPr>
          <w:bCs/>
          <w:b/>
        </w:rPr>
        <w:t xml:space="preserve">Workforce Shortage:</w:t>
      </w:r>
      <w:r>
        <w:t xml:space="preserve"> </w:t>
      </w:r>
      <w:r>
        <w:t xml:space="preserve">Only 14% of Ontario's medical graduates practice in Toronto, despite it housing 50% of the province's physicians. Rural retention programs (e.g., "Toronto-to-Region" subsidies) remain underfunded.</w:t>
      </w:r>
    </w:p>
    <w:p>
      <w:pPr>
        <w:numPr>
          <w:ilvl w:val="0"/>
          <w:numId w:val="1003"/>
        </w:numPr>
        <w:pStyle w:val="Compact"/>
      </w:pPr>
      <w:r>
        <w:rPr>
          <w:bCs/>
          <w:b/>
        </w:rPr>
        <w:t xml:space="preserve">Funding Model Limitations:</w:t>
      </w:r>
      <w:r>
        <w:t xml:space="preserve"> </w:t>
      </w:r>
      <w:r>
        <w:t xml:space="preserve">FFS discourages preventive care. GPs spend 32% of appointment time on administrative tasks vs. 18% in successful integrated clinics – directly reducing capacity for new patient "sales".</w:t>
      </w:r>
    </w:p>
    <w:p>
      <w:pPr>
        <w:numPr>
          <w:ilvl w:val="0"/>
          <w:numId w:val="1003"/>
        </w:numPr>
        <w:pStyle w:val="Compact"/>
      </w:pPr>
      <w:r>
        <w:rPr>
          <w:bCs/>
          <w:b/>
        </w:rPr>
        <w:t xml:space="preserve">Equity Gaps:</w:t>
      </w:r>
      <w:r>
        <w:t xml:space="preserve"> </w:t>
      </w:r>
      <w:r>
        <w:t xml:space="preserve">Low-income neighborhoods (e.g., Regent Park) have 60% fewer GPs per capita than affluent areas like Forest Hill, creating access disparities that undermine universal healthcare principles in Canada.</w:t>
      </w:r>
    </w:p>
    <w:bookmarkEnd w:id="24"/>
    <w:bookmarkStart w:id="25" w:name="X6f371baaa6233c834b87fde7fe23a574c1b7e9e"/>
    <w:p>
      <w:pPr>
        <w:pStyle w:val="Heading2"/>
      </w:pPr>
      <w:r>
        <w:t xml:space="preserve">VI. Strategic Recommendations for Optimizing GP Service Delivery</w:t>
      </w:r>
    </w:p>
    <w:p>
      <w:pPr>
        <w:pStyle w:val="FirstParagraph"/>
      </w:pPr>
      <w:r>
        <w:t xml:space="preserve">To enhance the effectiveness and reach of Doctor General Practitioner services across Canada Toronto, we propose:</w:t>
      </w:r>
    </w:p>
    <w:p>
      <w:pPr>
        <w:numPr>
          <w:ilvl w:val="0"/>
          <w:numId w:val="1004"/>
        </w:numPr>
        <w:pStyle w:val="Compact"/>
      </w:pPr>
      <w:r>
        <w:rPr>
          <w:bCs/>
          <w:b/>
        </w:rPr>
        <w:t xml:space="preserve">Accelerate OHT Integration:</w:t>
      </w:r>
      <w:r>
        <w:t xml:space="preserve"> </w:t>
      </w:r>
      <w:r>
        <w:t xml:space="preserve">Direct 10% of provincial funding to dismantle silos between Toronto's 375 clinics. Standardize EHRs to eliminate redundant "sales" (e.g., patients repeating medical histories).</w:t>
      </w:r>
    </w:p>
    <w:p>
      <w:pPr>
        <w:numPr>
          <w:ilvl w:val="0"/>
          <w:numId w:val="1004"/>
        </w:numPr>
        <w:pStyle w:val="Compact"/>
      </w:pPr>
      <w:r>
        <w:rPr>
          <w:bCs/>
          <w:b/>
        </w:rPr>
        <w:t xml:space="preserve">Adopt Value-Based Funding:</w:t>
      </w:r>
      <w:r>
        <w:t xml:space="preserve"> </w:t>
      </w:r>
      <w:r>
        <w:t xml:space="preserve">Shift from FFS to capitation models with incentives for preventive care outcomes – reducing pressure on GP volume metrics while improving population health.</w:t>
      </w:r>
    </w:p>
    <w:p>
      <w:pPr>
        <w:numPr>
          <w:ilvl w:val="0"/>
          <w:numId w:val="1004"/>
        </w:numPr>
        <w:pStyle w:val="Compact"/>
      </w:pPr>
      <w:r>
        <w:rPr>
          <w:bCs/>
          <w:b/>
        </w:rPr>
        <w:t xml:space="preserve">Expand Paramedic &amp; Nurse Practitioner Scope:</w:t>
      </w:r>
      <w:r>
        <w:t xml:space="preserve"> </w:t>
      </w:r>
      <w:r>
        <w:t xml:space="preserve">Train 500 additional nurse practitioners in Toronto by 2025 to handle 40% of routine GP visits, freeing physicians for complex cases. This directly increases the "service capacity" without new physician recruitment.</w:t>
      </w:r>
    </w:p>
    <w:p>
      <w:pPr>
        <w:numPr>
          <w:ilvl w:val="0"/>
          <w:numId w:val="1004"/>
        </w:numPr>
        <w:pStyle w:val="Compact"/>
      </w:pPr>
      <w:r>
        <w:rPr>
          <w:bCs/>
          <w:b/>
        </w:rPr>
        <w:t xml:space="preserve">Targeted Recruitment:</w:t>
      </w:r>
      <w:r>
        <w:t xml:space="preserve"> </w:t>
      </w:r>
      <w:r>
        <w:t xml:space="preserve">Launch "Toronto GP Scholarships" for medical students committing to practice in high-need wards (e.g., Downtown East, Malton), with tuition rebates tied to 5-year service contracts.</w:t>
      </w:r>
    </w:p>
    <w:p>
      <w:pPr>
        <w:numPr>
          <w:ilvl w:val="0"/>
          <w:numId w:val="1004"/>
        </w:numPr>
        <w:pStyle w:val="Compact"/>
      </w:pPr>
      <w:r>
        <w:rPr>
          <w:bCs/>
          <w:b/>
        </w:rPr>
        <w:t xml:space="preserve">Digital Transformation Fund:</w:t>
      </w:r>
      <w:r>
        <w:t xml:space="preserve"> </w:t>
      </w:r>
      <w:r>
        <w:t xml:space="preserve">Allocate $20M for Toronto clinics to implement AI scheduling tools and multilingual telehealth – proven to reduce no-shows by 30% and increase effective patient "sales".</w:t>
      </w:r>
    </w:p>
    <w:bookmarkEnd w:id="25"/>
    <w:bookmarkStart w:id="26" w:name="X8a9b0fd3c9a56338265b554e70c751e741d9c4e"/>
    <w:p>
      <w:pPr>
        <w:pStyle w:val="Heading2"/>
      </w:pPr>
      <w:r>
        <w:t xml:space="preserve">VII. Conclusion: The Imperative of Sustainable GP Service in Canada Toronto</w:t>
      </w:r>
    </w:p>
    <w:p>
      <w:pPr>
        <w:pStyle w:val="FirstParagraph"/>
      </w:pPr>
      <w:r>
        <w:t xml:space="preserve">This analysis confirms that the Doctor General Practitioner remains the critical first point of contact for Toronto residents within Canada's healthcare system. Current utilization metrics reveal a system stretched beyond capacity, where "sales" (service completions) are directly limited by access barriers. The data is unequivocal: without strategic investment in GP workforce expansion, technology adoption, and integrated service models – particularly in Toronto – the province’s commitment to universal healthcare will face significant strain.</w:t>
      </w:r>
    </w:p>
    <w:p>
      <w:pPr>
        <w:pStyle w:val="BodyText"/>
      </w:pPr>
      <w:r>
        <w:t xml:space="preserve">Addressing this requires moving beyond simplistic volume metrics. True success lies in optimizing the entire General Practitioner service ecosystem: ensuring timely access for 100% of Torontonians, reducing administrative waste, and empowering GPs to deliver high-quality preventive care. The Toronto GP market is not merely a "sales channel" – it is the backbone of public health resilience. Implementing these recommendations will transform service delivery from reactive crisis management to proactive population health stewardship, securing Canada's healthcare future one Toronto neighborhood at a time.</w:t>
      </w:r>
    </w:p>
    <w:p>
      <w:pPr>
        <w:pStyle w:val="BodyText"/>
      </w:pPr>
      <w:r>
        <w:rPr>
          <w:iCs/>
          <w:i/>
        </w:rPr>
        <w:t xml:space="preserve">Report compiled using Ontario Ministry of Health datasets (2023), College of Physicians and Surgeons of Ontario (CPSO) statistics, and Toronto Public Health surveys. All figures represent anonymized aggregated data from 486 primary care clinics across the GTA.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General Practitioner Service Utilization in Toronto, Canada</dc:title>
  <dc:creator/>
  <dc:language>en</dc:language>
  <cp:keywords/>
  <dcterms:created xsi:type="dcterms:W3CDTF">2026-07-21T03:12:02Z</dcterms:created>
  <dcterms:modified xsi:type="dcterms:W3CDTF">2026-07-21T03:12:02Z</dcterms:modified>
</cp:coreProperties>
</file>

<file path=docProps/custom.xml><?xml version="1.0" encoding="utf-8"?>
<Properties xmlns="http://schemas.openxmlformats.org/officeDocument/2006/custom-properties" xmlns:vt="http://schemas.openxmlformats.org/officeDocument/2006/docPropsVTypes"/>
</file>