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Santiago,</w:t>
      </w:r>
      <w:r>
        <w:t xml:space="preserve"> </w:t>
      </w:r>
      <w:r>
        <w:t xml:space="preserve">Chile</w:t>
      </w:r>
    </w:p>
    <w:bookmarkStart w:id="30" w:name="X4a069fd42b2abe2943a63dfa34105f71c19011b"/>
    <w:p>
      <w:pPr>
        <w:pStyle w:val="Heading1"/>
      </w:pPr>
      <w:r>
        <w:t xml:space="preserve">Quarterly Sales Report: General Practitioner Service Performance Analysis – Santiago, Chile</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Healthcare Operations Leadership Team &amp; Stakeholders</w:t>
      </w:r>
      <w:r>
        <w:br/>
      </w:r>
      <w:r>
        <w:rPr>
          <w:bCs/>
          <w:b/>
        </w:rPr>
        <w:t xml:space="preserve">Location Focus:</w:t>
      </w:r>
      <w:r>
        <w:t xml:space="preserve"> </w:t>
      </w:r>
      <w:r>
        <w:t xml:space="preserve">Santiago Metropolitan Region (Chile)</w:t>
      </w:r>
    </w:p>
    <w:bookmarkStart w:id="20" w:name="i.-executive-summary"/>
    <w:p>
      <w:pPr>
        <w:pStyle w:val="Heading2"/>
      </w:pPr>
      <w:r>
        <w:t xml:space="preserve">I. Executive Summary</w:t>
      </w:r>
    </w:p>
    <w:p>
      <w:pPr>
        <w:pStyle w:val="FirstParagraph"/>
      </w:pPr>
      <w:r>
        <w:t xml:space="preserve">This Sales Report details the performance metrics for General Practitioner (GP) services across key healthcare facilities in Santiago, Chile. The report confirms sustained growth in patient acquisition and revenue generation for Doctor General Practitioner services, driven by increased public health awareness, aging demographics, and expanded insurance coverage under Chile’s national health system (FONASA) and private insurers (ISAPREs). Santiago remains the primary hub for medical service consumption in Chile, accounting for 35% of all GP consultations nationally. This quarter’s success underscores the strategic importance of optimizing Doctor General Practitioner workflows to meet rising demand across urban centers like Providencia, Las Condes, and Ñuñoa.</w:t>
      </w:r>
    </w:p>
    <w:bookmarkEnd w:id="20"/>
    <w:bookmarkStart w:id="21" w:name="X568c0b768f74c42af3712b69f59d56d62d08ead"/>
    <w:p>
      <w:pPr>
        <w:pStyle w:val="Heading2"/>
      </w:pPr>
      <w:r>
        <w:t xml:space="preserve">II. Market Context: Santiago’s Healthcare Landscape</w:t>
      </w:r>
    </w:p>
    <w:p>
      <w:pPr>
        <w:pStyle w:val="FirstParagraph"/>
      </w:pPr>
      <w:r>
        <w:t xml:space="preserve">Santiago’s dense population (7.0 million residents) creates exceptional demand for accessible primary care. As the country’s economic and medical capital, Chile Santiago houses 60% of Chile's private clinics and major public health centers (CAPS). The Doctor General Practitioner serves as the critical first point of contact, managing chronic conditions (diabetes, hypertension), acute illnesses, preventive care, and referrals. With 78% of Santiago residents covered by FONASA or ISAPREs—both reimbursing GP services—the market for this role is both stable and growing. This Sales Report analyzes how our provider network capitalized on these dynamics in Q3 2023.</w:t>
      </w:r>
    </w:p>
    <w:bookmarkEnd w:id="21"/>
    <w:bookmarkStart w:id="22" w:name="iii.-key-performance-indicators-kpis"/>
    <w:p>
      <w:pPr>
        <w:pStyle w:val="Heading2"/>
      </w:pPr>
      <w:r>
        <w:t xml:space="preserve">III. Key Performance Indicators (KPIs)</w:t>
      </w:r>
    </w:p>
    <w:p>
      <w:pPr>
        <w:pStyle w:val="FirstParagraph"/>
      </w:pPr>
      <w:r>
        <w:t xml:space="preserve">KPI</w:t>
      </w:r>
    </w:p>
    <w:p>
      <w:pPr>
        <w:pStyle w:val="BodyText"/>
      </w:pPr>
      <w:r>
        <w:t xml:space="preserve">Q3 2023 Result</w:t>
      </w:r>
    </w:p>
    <w:p>
      <w:pPr>
        <w:pStyle w:val="BodyText"/>
      </w:pPr>
      <w:r>
        <w:t xml:space="preserve">Q2 2023 Result</w:t>
      </w:r>
    </w:p>
    <w:p>
      <w:pPr>
        <w:pStyle w:val="BodyText"/>
      </w:pPr>
      <w:r>
        <w:t xml:space="preserve">% Change</w:t>
      </w:r>
    </w:p>
    <w:p>
      <w:pPr>
        <w:pStyle w:val="BodyText"/>
      </w:pPr>
      <w:r>
        <w:t xml:space="preserve">Total Patient Consultations (GP)</w:t>
      </w:r>
    </w:p>
    <w:p>
      <w:pPr>
        <w:pStyle w:val="BodyText"/>
      </w:pPr>
      <w:r>
        <w:t xml:space="preserve">18,450</w:t>
      </w:r>
    </w:p>
    <w:p>
      <w:pPr>
        <w:pStyle w:val="BodyText"/>
      </w:pPr>
      <w:r>
        <w:t xml:space="preserve">16,780</w:t>
      </w:r>
    </w:p>
    <w:p>
      <w:pPr>
        <w:pStyle w:val="BodyText"/>
      </w:pPr>
      <w:r>
        <w:t xml:space="preserve">+9.9%</w:t>
      </w:r>
    </w:p>
    <w:p>
      <w:pPr>
        <w:pStyle w:val="BodyText"/>
      </w:pPr>
      <w:r>
        <w:t xml:space="preserve">Average Revenue per Consultation (CLP)</w:t>
      </w:r>
    </w:p>
    <w:p>
      <w:pPr>
        <w:pStyle w:val="BodyText"/>
      </w:pPr>
      <w:r>
        <w:t xml:space="preserve">28,500</w:t>
      </w:r>
    </w:p>
    <w:p>
      <w:pPr>
        <w:pStyle w:val="BodyText"/>
      </w:pPr>
      <w:r>
        <w:t xml:space="preserve">27,300</w:t>
      </w:r>
    </w:p>
    <w:p>
      <w:pPr>
        <w:pStyle w:val="BodyText"/>
      </w:pPr>
      <w:r>
        <w:t xml:space="preserve">Note: Includes FONASA reimbursement (65%) and private pay (35%) revenue streams.</w:t>
      </w:r>
    </w:p>
    <w:p>
      <w:pPr>
        <w:pStyle w:val="BodyText"/>
      </w:pPr>
      <w:r>
        <w:t xml:space="preserve">These results reflect a 10% year-over-year increase in Doctor General Practitioner service sales, outperforming Santiago’s regional average of 7.2%. Key drivers include:</w:t>
      </w:r>
    </w:p>
    <w:p>
      <w:pPr>
        <w:numPr>
          <w:ilvl w:val="0"/>
          <w:numId w:val="1001"/>
        </w:numPr>
        <w:pStyle w:val="Compact"/>
      </w:pPr>
      <w:r>
        <w:rPr>
          <w:bCs/>
          <w:b/>
        </w:rPr>
        <w:t xml:space="preserve">Seasonal Demand:</w:t>
      </w:r>
      <w:r>
        <w:t xml:space="preserve"> </w:t>
      </w:r>
      <w:r>
        <w:t xml:space="preserve">Peak respiratory illness season (winter months) drove 15% more acute visits.</w:t>
      </w:r>
    </w:p>
    <w:p>
      <w:pPr>
        <w:numPr>
          <w:ilvl w:val="0"/>
          <w:numId w:val="1001"/>
        </w:numPr>
        <w:pStyle w:val="Compact"/>
      </w:pPr>
      <w:r>
        <w:rPr>
          <w:bCs/>
          <w:b/>
        </w:rPr>
        <w:t xml:space="preserve">Preventive Care Campaigns:</w:t>
      </w:r>
      <w:r>
        <w:t xml:space="preserve"> </w:t>
      </w:r>
      <w:r>
        <w:t xml:space="preserve">Partnerships with ISAPRE providers (e.g., Vida Tres, Banmedica) boosted wellness check-ups by 22%.</w:t>
      </w:r>
    </w:p>
    <w:p>
      <w:pPr>
        <w:numPr>
          <w:ilvl w:val="0"/>
          <w:numId w:val="1001"/>
        </w:numPr>
        <w:pStyle w:val="Compact"/>
      </w:pPr>
      <w:r>
        <w:rPr>
          <w:bCs/>
          <w:b/>
        </w:rPr>
        <w:t xml:space="preserve">Telemedicine Integration:</w:t>
      </w:r>
      <w:r>
        <w:t xml:space="preserve"> </w:t>
      </w:r>
      <w:r>
        <w:t xml:space="preserve">Remote consultations via our Santiago-based platform increased by 40%, capturing patients in suburbs like Maipú and Cerrillos.</w:t>
      </w:r>
    </w:p>
    <w:bookmarkEnd w:id="22"/>
    <w:bookmarkStart w:id="26" w:name="X6b5961d12f16874c36c72c09b4f5a2e27128fa0"/>
    <w:p>
      <w:pPr>
        <w:pStyle w:val="Heading2"/>
      </w:pPr>
      <w:r>
        <w:t xml:space="preserve">IV. Regional Breakdown: Santiago Sub-Markets</w:t>
      </w:r>
    </w:p>
    <w:p>
      <w:pPr>
        <w:pStyle w:val="FirstParagraph"/>
      </w:pPr>
      <w:r>
        <w:t xml:space="preserve">Santiago’s geographic diversity necessitates localized strategies for Doctor General Practitioner services:</w:t>
      </w:r>
    </w:p>
    <w:bookmarkStart w:id="23" w:name="a.-affluent-zones-las-condes-vitacura"/>
    <w:p>
      <w:pPr>
        <w:pStyle w:val="Heading3"/>
      </w:pPr>
      <w:r>
        <w:t xml:space="preserve">A. Affluent Zones (Las Condes, Vitacura)</w:t>
      </w:r>
    </w:p>
    <w:p>
      <w:pPr>
        <w:pStyle w:val="FirstParagraph"/>
      </w:pPr>
      <w:r>
        <w:t xml:space="preserve">Accounted for 45% of total revenue despite representing only 20% of the city’s population. Private pay consultations dominated (85%), with average revenue per visit at CLP 41,200. High demand for preventive screenings (e.g., cardiovascular risk assessments) drove sales growth here.</w:t>
      </w:r>
    </w:p>
    <w:bookmarkEnd w:id="23"/>
    <w:bookmarkStart w:id="24" w:name="b.-mid-income-zones-providencia-ñuñoa"/>
    <w:p>
      <w:pPr>
        <w:pStyle w:val="Heading3"/>
      </w:pPr>
      <w:r>
        <w:t xml:space="preserve">B. Mid-Income Zones (Providencia, Ñuñoa)</w:t>
      </w:r>
    </w:p>
    <w:p>
      <w:pPr>
        <w:pStyle w:val="FirstParagraph"/>
      </w:pPr>
      <w:r>
        <w:t xml:space="preserve">The largest volume segment (52% of consultations). Balanced FONASA/private mix (60%/40%). Key growth areas: chronic disease management programs and pediatric GPs, supported by municipal health initiatives.</w:t>
      </w:r>
    </w:p>
    <w:bookmarkEnd w:id="24"/>
    <w:bookmarkStart w:id="25" w:name="Xcadb9bff4ba5745e7b70d01936b2c46a4c0187e"/>
    <w:p>
      <w:pPr>
        <w:pStyle w:val="Heading3"/>
      </w:pPr>
      <w:r>
        <w:t xml:space="preserve">C. Public Health Centers (CAPS) in Low-Income Areas</w:t>
      </w:r>
    </w:p>
    <w:p>
      <w:pPr>
        <w:pStyle w:val="FirstParagraph"/>
      </w:pPr>
      <w:r>
        <w:t xml:space="preserve">Services remained stable but showed the highest patient volume (12% of total). FONASA reimbursements covered 95% of revenue here, with lower per-visit earnings. This segment is critical for social impact, though margins are thin.</w:t>
      </w:r>
    </w:p>
    <w:bookmarkEnd w:id="25"/>
    <w:bookmarkEnd w:id="26"/>
    <w:bookmarkStart w:id="27" w:name="Xb4f657d3d3a05e98a8f8e12888efc84fbfb6d38"/>
    <w:p>
      <w:pPr>
        <w:pStyle w:val="Heading2"/>
      </w:pPr>
      <w:r>
        <w:t xml:space="preserve">V. Competitive Analysis: Santiago’s Doctor General Practitioner Market</w:t>
      </w:r>
    </w:p>
    <w:p>
      <w:pPr>
        <w:pStyle w:val="FirstParagraph"/>
      </w:pPr>
      <w:r>
        <w:t xml:space="preserve">Compared to competitors in Chile Santiago:</w:t>
      </w:r>
    </w:p>
    <w:p>
      <w:pPr>
        <w:numPr>
          <w:ilvl w:val="0"/>
          <w:numId w:val="1002"/>
        </w:numPr>
        <w:pStyle w:val="Compact"/>
      </w:pPr>
      <w:r>
        <w:rPr>
          <w:bCs/>
          <w:b/>
        </w:rPr>
        <w:t xml:space="preserve">Private Chains (e.g., Clínica Las Condes):</w:t>
      </w:r>
      <w:r>
        <w:t xml:space="preserve"> </w:t>
      </w:r>
      <w:r>
        <w:t xml:space="preserve">Higher pricing but 15% lower patient volume due to limited appointment availability.</w:t>
      </w:r>
    </w:p>
    <w:p>
      <w:pPr>
        <w:numPr>
          <w:ilvl w:val="0"/>
          <w:numId w:val="1002"/>
        </w:numPr>
        <w:pStyle w:val="Compact"/>
      </w:pPr>
      <w:r>
        <w:rPr>
          <w:bCs/>
          <w:b/>
        </w:rPr>
        <w:t xml:space="preserve">FONASA-Certified Clinics:</w:t>
      </w:r>
      <w:r>
        <w:t xml:space="preserve"> </w:t>
      </w:r>
      <w:r>
        <w:t xml:space="preserve">Strong in low-income areas but struggled with wait times, creating opportunities for our agile GP network.</w:t>
      </w:r>
    </w:p>
    <w:p>
      <w:pPr>
        <w:numPr>
          <w:ilvl w:val="0"/>
          <w:numId w:val="1002"/>
        </w:numPr>
        <w:pStyle w:val="Compact"/>
      </w:pPr>
      <w:r>
        <w:rPr>
          <w:bCs/>
          <w:b/>
        </w:rPr>
        <w:t xml:space="preserve">Digital Health Startups:</w:t>
      </w:r>
      <w:r>
        <w:t xml:space="preserve"> </w:t>
      </w:r>
      <w:r>
        <w:t xml:space="preserve">Gained traction in telemedicine but lacked physical presence for complex cases. Our hybrid model (in-person + digital) captured 28% of this emerging channel.</w:t>
      </w:r>
    </w:p>
    <w:p>
      <w:pPr>
        <w:pStyle w:val="FirstParagraph"/>
      </w:pPr>
      <w:r>
        <w:t xml:space="preserve">This Sales Report confirms that our Doctor General Practitioner network’s flexibility—combining affordable FONASA access with premium private services—provides a competitive edge across Santiago’s diverse market segments.</w:t>
      </w:r>
    </w:p>
    <w:bookmarkEnd w:id="27"/>
    <w:bookmarkStart w:id="28" w:name="vi.-strategic-recommendations"/>
    <w:p>
      <w:pPr>
        <w:pStyle w:val="Heading2"/>
      </w:pPr>
      <w:r>
        <w:t xml:space="preserve">VI. Strategic Recommendations</w:t>
      </w:r>
    </w:p>
    <w:p>
      <w:pPr>
        <w:numPr>
          <w:ilvl w:val="0"/>
          <w:numId w:val="1003"/>
        </w:numPr>
        <w:pStyle w:val="Compact"/>
      </w:pPr>
      <w:r>
        <w:rPr>
          <w:bCs/>
          <w:b/>
        </w:rPr>
        <w:t xml:space="preserve">Expand Preventive Care Packages:</w:t>
      </w:r>
      <w:r>
        <w:t xml:space="preserve"> </w:t>
      </w:r>
      <w:r>
        <w:t xml:space="preserve">Develop bundled services (e.g., "Santiago Wellness 360") targeting middle-income families in Ñuñoa and Las Condes, leveraging high ISAPRE engagement.</w:t>
      </w:r>
    </w:p>
    <w:p>
      <w:pPr>
        <w:numPr>
          <w:ilvl w:val="0"/>
          <w:numId w:val="1003"/>
        </w:numPr>
        <w:pStyle w:val="Compact"/>
      </w:pPr>
      <w:r>
        <w:rPr>
          <w:bCs/>
          <w:b/>
        </w:rPr>
        <w:t xml:space="preserve">Enhance Telemedicine Infrastructure:</w:t>
      </w:r>
      <w:r>
        <w:t xml:space="preserve"> </w:t>
      </w:r>
      <w:r>
        <w:t xml:space="preserve">Invest in Santiago-specific app features for FONASA patients to reduce no-shows (currently 18% of appointments).</w:t>
      </w:r>
    </w:p>
    <w:p>
      <w:pPr>
        <w:numPr>
          <w:ilvl w:val="0"/>
          <w:numId w:val="1003"/>
        </w:numPr>
        <w:pStyle w:val="Compact"/>
      </w:pPr>
      <w:r>
        <w:rPr>
          <w:bCs/>
          <w:b/>
        </w:rPr>
        <w:t xml:space="preserve">Nurture GP Talent Pipeline:</w:t>
      </w:r>
      <w:r>
        <w:t xml:space="preserve"> </w:t>
      </w:r>
      <w:r>
        <w:t xml:space="preserve">Partner with Universidad de Chile and Pontificia Universidad Católica to recruit new Doctor General Practitioner graduates, addressing Santiago’s growing physician shortage.</w:t>
      </w:r>
    </w:p>
    <w:p>
      <w:pPr>
        <w:numPr>
          <w:ilvl w:val="0"/>
          <w:numId w:val="1003"/>
        </w:numPr>
        <w:pStyle w:val="Compact"/>
      </w:pPr>
      <w:r>
        <w:rPr>
          <w:bCs/>
          <w:b/>
        </w:rPr>
        <w:t xml:space="preserve">Community Health Outreach:</w:t>
      </w:r>
      <w:r>
        <w:t xml:space="preserve"> </w:t>
      </w:r>
      <w:r>
        <w:t xml:space="preserve">Launch free mobile clinics in underserved Santiago communes (e.g., Estación Central), converting awareness into patient acquisition.</w:t>
      </w:r>
    </w:p>
    <w:bookmarkEnd w:id="28"/>
    <w:bookmarkStart w:id="29" w:name="vii.-conclusion"/>
    <w:p>
      <w:pPr>
        <w:pStyle w:val="Heading2"/>
      </w:pPr>
      <w:r>
        <w:t xml:space="preserve">VII. Conclusion</w:t>
      </w:r>
    </w:p>
    <w:p>
      <w:pPr>
        <w:pStyle w:val="FirstParagraph"/>
      </w:pPr>
      <w:r>
        <w:t xml:space="preserve">The Q3 2023 Sales Report demonstrates robust performance for Doctor General Practitioner services throughout Chile Santiago, with revenue growth directly tied to strategic alignment with the city’s unique healthcare ecosystem. As Santiago continues to evolve as Chile’s medical epicenter, optimizing access points for the Doctor General Practitioner remains pivotal. This report affirms that our model—blending digital innovation, insurance partnerships, and neighborhood-centric service delivery—positions us for sustainable leadership in Santiago’s primary care market. We project 12% annual revenue growth for GP services through Q4 2023, with Chile Santiago sustaining its role as the nation’s healthcare sales engine.</w:t>
      </w:r>
    </w:p>
    <w:p>
      <w:pPr>
        <w:pStyle w:val="BodyText"/>
      </w:pPr>
      <w:r>
        <w:rPr>
          <w:bCs/>
          <w:b/>
        </w:rPr>
        <w:t xml:space="preserve">Prepared By:</w:t>
      </w:r>
      <w:r>
        <w:t xml:space="preserve"> </w:t>
      </w:r>
      <w:r>
        <w:t xml:space="preserve">Healthcare Analytics Division</w:t>
      </w:r>
      <w:r>
        <w:br/>
      </w:r>
      <w:r>
        <w:rPr>
          <w:bCs/>
          <w:b/>
        </w:rPr>
        <w:t xml:space="preserve">Contact:</w:t>
      </w:r>
      <w:r>
        <w:t xml:space="preserve"> </w:t>
      </w:r>
      <w:r>
        <w:t xml:space="preserve">analytics@chilemedicalservices.cl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Doctor General Practitioner Services in Santiago, Chile</dc:title>
  <dc:creator/>
  <dc:language>en</dc:language>
  <cp:keywords/>
  <dcterms:created xsi:type="dcterms:W3CDTF">2026-07-23T13:20:35Z</dcterms:created>
  <dcterms:modified xsi:type="dcterms:W3CDTF">2026-07-23T13:20:35Z</dcterms:modified>
</cp:coreProperties>
</file>

<file path=docProps/custom.xml><?xml version="1.0" encoding="utf-8"?>
<Properties xmlns="http://schemas.openxmlformats.org/officeDocument/2006/custom-properties" xmlns:vt="http://schemas.openxmlformats.org/officeDocument/2006/docPropsVTypes"/>
</file>