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Market</w:t>
      </w:r>
      <w:r>
        <w:t xml:space="preserve"> </w:t>
      </w:r>
      <w:r>
        <w:t xml:space="preserve">Analysis</w:t>
      </w:r>
      <w:r>
        <w:t xml:space="preserve"> </w:t>
      </w:r>
      <w:r>
        <w:t xml:space="preserve">in</w:t>
      </w:r>
      <w:r>
        <w:t xml:space="preserve"> </w:t>
      </w:r>
      <w:r>
        <w:t xml:space="preserve">Beijing,</w:t>
      </w:r>
      <w:r>
        <w:t xml:space="preserve"> </w:t>
      </w:r>
      <w:r>
        <w:t xml:space="preserve">China</w:t>
      </w:r>
    </w:p>
    <w:bookmarkStart w:id="26" w:name="X2012c48f8b4921e9d45738b7a4d25b1e9526fe0"/>
    <w:p>
      <w:pPr>
        <w:pStyle w:val="Heading1"/>
      </w:pPr>
      <w:r>
        <w:t xml:space="preserve">SALES REPORT: GENERAL PRACTITIONER SERVICES AND SOLUTIONS IN BEIJING, CHINA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China Healthcare Solutions Division</w:t>
      </w:r>
    </w:p>
    <w:bookmarkStart w:id="20" w:name="executive-summary"/>
    <w:p>
      <w:pPr>
        <w:pStyle w:val="Heading2"/>
      </w:pPr>
      <w:r>
        <w:t xml:space="preserve">Executive Summary</w:t>
      </w:r>
    </w:p>
    <w:p>
      <w:pPr>
        <w:pStyle w:val="FirstParagraph"/>
      </w:pPr>
      <w:r>
        <w:t xml:space="preserve">This comprehensive Sales Report details the performance of General Practitioner (GP) service solutions across Beijing, China. As the national capital and healthcare innovation hub, Beijing presents a critical market for Doctor General Practitioner (GP) ecosystem expansion. The report analyzes sales trends, regulatory dynamics, and growth opportunities specific to this region—where government-driven healthcare reforms are accelerating demand for accessible primary care. Key findings confirm that strategic investments in GP-focused solutions have yielded 22% year-over-year revenue growth in the Beijing market alone, with telehealth platforms and diagnostic tools emerging as top-selling categories.</w:t>
      </w:r>
    </w:p>
    <w:bookmarkEnd w:id="20"/>
    <w:bookmarkStart w:id="21" w:name="Xc7d86f1cca066e6a00c1fc99a1e00b21f63f545"/>
    <w:p>
      <w:pPr>
        <w:pStyle w:val="Heading2"/>
      </w:pPr>
      <w:r>
        <w:t xml:space="preserve">Market Context: Why Beijing Matters for Doctor General Practitioner Sales</w:t>
      </w:r>
    </w:p>
    <w:p>
      <w:pPr>
        <w:pStyle w:val="FirstParagraph"/>
      </w:pPr>
      <w:r>
        <w:t xml:space="preserve">Beijing's healthcare landscape is undergoing transformative change under China's "Healthy China 2030" initiative, which prioritizes strengthening primary care through Doctor General Practitioner networks. With over 21 million residents and a rapidly aging population (18% aged 65+), Beijing faces acute pressure on tertiary hospitals. The local government has mandated that all community health centers in Beijing implement family doctor contracts by 2025, creating an urgent need for scalable GP solutions. This policy shift directly fuels our sales pipeline, as healthcare providers require integrated software, portable diagnostic devices, and training programs to support their Doctor General Practitioner teams.</w:t>
      </w:r>
    </w:p>
    <w:bookmarkEnd w:id="21"/>
    <w:bookmarkStart w:id="22" w:name="sales-performance-highlights-q1q3-2023"/>
    <w:p>
      <w:pPr>
        <w:pStyle w:val="Heading2"/>
      </w:pPr>
      <w:r>
        <w:t xml:space="preserve">Sales Performance Highlights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w:t>
            </w:r>
          </w:p>
        </w:tc>
        <w:tc>
          <w:tcPr/>
          <w:p>
            <w:pPr>
              <w:pStyle w:val="Compact"/>
              <w:jc w:val="left"/>
            </w:pPr>
            <w:r>
              <w:t xml:space="preserve">% YoY Growth</w:t>
            </w:r>
          </w:p>
        </w:tc>
        <w:tc>
          <w:tcPr/>
          <w:p>
            <w:pPr>
              <w:pStyle w:val="Compact"/>
              <w:jc w:val="left"/>
            </w:pPr>
            <w:r>
              <w:t xml:space="preserve">Key Beijing Districts Targeted</w:t>
            </w:r>
          </w:p>
        </w:tc>
      </w:tr>
      <w:tr>
        <w:tc>
          <w:tcPr/>
          <w:p>
            <w:pPr>
              <w:pStyle w:val="Compact"/>
              <w:jc w:val="left"/>
            </w:pPr>
            <w:r>
              <w:t xml:space="preserve">Telehealth Platforms for GP Consultations</w:t>
            </w:r>
          </w:p>
        </w:tc>
        <w:tc>
          <w:tcPr/>
          <w:p>
            <w:pPr>
              <w:pStyle w:val="Compact"/>
              <w:jc w:val="left"/>
            </w:pPr>
            <w:r>
              <w:t xml:space="preserve">8.7 million</w:t>
            </w:r>
          </w:p>
        </w:tc>
        <w:tc>
          <w:tcPr/>
          <w:p>
            <w:pPr>
              <w:pStyle w:val="Compact"/>
              <w:jc w:val="left"/>
            </w:pPr>
            <w:r>
              <w:t xml:space="preserve">+35%</w:t>
            </w:r>
          </w:p>
        </w:tc>
        <w:tc>
          <w:tcPr/>
          <w:p>
            <w:pPr>
              <w:pStyle w:val="Compact"/>
              <w:jc w:val="left"/>
            </w:pPr>
            <w:r>
              <w:t xml:space="preserve">Chaoyang, Haidian, Xicheng</w:t>
            </w:r>
          </w:p>
        </w:tc>
      </w:tr>
      <w:tr>
        <w:tc>
          <w:tcPr/>
          <w:p>
            <w:pPr>
              <w:pStyle w:val="Compact"/>
              <w:jc w:val="left"/>
            </w:pPr>
            <w:r>
              <w:t xml:space="preserve">Portable Diagnostic Kits (Blood Glucose/ECG)</w:t>
            </w:r>
          </w:p>
        </w:tc>
        <w:tc>
          <w:tcPr/>
          <w:p>
            <w:pPr>
              <w:pStyle w:val="Compact"/>
              <w:jc w:val="left"/>
            </w:pPr>
            <w:r>
              <w:t xml:space="preserve">6.2 million</w:t>
            </w:r>
          </w:p>
        </w:tc>
        <w:tc>
          <w:tcPr/>
          <w:p>
            <w:pPr>
              <w:pStyle w:val="Compact"/>
              <w:jc w:val="left"/>
            </w:pPr>
            <w:r>
              <w:t xml:space="preserve">+28%</w:t>
            </w:r>
          </w:p>
        </w:tc>
        <w:tc>
          <w:tcPr/>
          <w:p>
            <w:pPr>
              <w:pStyle w:val="Compact"/>
              <w:jc w:val="left"/>
            </w:pPr>
            <w:r>
              <w:t xml:space="preserve">Beijing Municipal Center, Tongzhou</w:t>
            </w:r>
          </w:p>
        </w:tc>
      </w:tr>
      <w:tr>
        <w:tc>
          <w:tcPr/>
          <w:p>
            <w:pPr>
              <w:pStyle w:val="Compact"/>
              <w:jc w:val="left"/>
            </w:pPr>
            <w:r>
              <w:t xml:space="preserve">GP Practice Management Software</w:t>
            </w:r>
          </w:p>
        </w:tc>
        <w:tc>
          <w:tcPr/>
          <w:p>
            <w:pPr>
              <w:pStyle w:val="Compact"/>
              <w:jc w:val="left"/>
            </w:pPr>
            <w:r>
              <w:t xml:space="preserve">4.5 million</w:t>
            </w:r>
          </w:p>
        </w:tc>
        <w:tc>
          <w:tcPr/>
          <w:p>
            <w:pPr>
              <w:pStyle w:val="Compact"/>
              <w:jc w:val="left"/>
            </w:pPr>
            <w:r>
              <w:t xml:space="preserve">+18%</w:t>
            </w:r>
          </w:p>
        </w:tc>
        <w:tc>
          <w:tcPr/>
          <w:p>
            <w:pPr>
              <w:pStyle w:val="Compact"/>
              <w:jc w:val="left"/>
            </w:pPr>
            <w:r>
              <w:t xml:space="preserve">All 16 Districts (Top: Fengtai, Shunyi)</w:t>
            </w:r>
          </w:p>
        </w:tc>
      </w:tr>
    </w:tbl>
    <w:p>
      <w:pPr>
        <w:pStyle w:val="BodyText"/>
      </w:pPr>
      <w:r>
        <w:t xml:space="preserve">Beijing's sales performance outpaces the national average by 42%, driven by two factors: (1) aggressive policy implementation in districts like Chaoyang—which houses 38% of Beijing’s community health centers—and (2) strong partnerships with leading healthcare providers such as Beijing Hospital and Peking Union Medical College. Notably, our GP telehealth solution achieved a 79% adoption rate among new Doctor General Practitioner contracts in Haidian District during Q3.</w:t>
      </w:r>
    </w:p>
    <w:bookmarkEnd w:id="22"/>
    <w:bookmarkStart w:id="23" w:name="Xc1df26905f5712a109415e00b472c771ff2f8bd"/>
    <w:p>
      <w:pPr>
        <w:pStyle w:val="Heading2"/>
      </w:pPr>
      <w:r>
        <w:t xml:space="preserve">Key Challenges in the China Beijing Market</w:t>
      </w:r>
    </w:p>
    <w:p>
      <w:pPr>
        <w:pStyle w:val="FirstParagraph"/>
      </w:pPr>
      <w:r>
        <w:t xml:space="preserve">Despite strong momentum, three challenges require strategic adaptation:</w:t>
      </w:r>
    </w:p>
    <w:p>
      <w:pPr>
        <w:numPr>
          <w:ilvl w:val="0"/>
          <w:numId w:val="1001"/>
        </w:numPr>
        <w:pStyle w:val="Compact"/>
      </w:pPr>
      <w:r>
        <w:rPr>
          <w:bCs/>
          <w:b/>
        </w:rPr>
        <w:t xml:space="preserve">Regulatory Nuances:</w:t>
      </w:r>
      <w:r>
        <w:t xml:space="preserve"> </w:t>
      </w:r>
      <w:r>
        <w:t xml:space="preserve">Beijing's health commission imposes stricter data compliance standards (GB/T 35273-2020) than other regions. Solutions must integrate with Beijing's unified medical record system (Beijing Health Cloud), delaying some sales cycles by 15–30 days.</w:t>
      </w:r>
    </w:p>
    <w:p>
      <w:pPr>
        <w:numPr>
          <w:ilvl w:val="0"/>
          <w:numId w:val="1001"/>
        </w:numPr>
        <w:pStyle w:val="Compact"/>
      </w:pPr>
      <w:r>
        <w:rPr>
          <w:bCs/>
          <w:b/>
        </w:rPr>
        <w:t xml:space="preserve">Cultural Preferences:</w:t>
      </w:r>
      <w:r>
        <w:t xml:space="preserve"> </w:t>
      </w:r>
      <w:r>
        <w:t xml:space="preserve">While urban GPs in Beijing embrace digital tools, many rural-leaning community centers (e.g., Mentougou) still prefer paper-based systems. Sales teams must tailor demos to local workflows.</w:t>
      </w:r>
    </w:p>
    <w:p>
      <w:pPr>
        <w:numPr>
          <w:ilvl w:val="0"/>
          <w:numId w:val="1001"/>
        </w:numPr>
        <w:pStyle w:val="Compact"/>
      </w:pPr>
      <w:r>
        <w:rPr>
          <w:bCs/>
          <w:b/>
        </w:rPr>
        <w:t xml:space="preserve">Competitive Landscape:</w:t>
      </w:r>
      <w:r>
        <w:t xml:space="preserve"> </w:t>
      </w:r>
      <w:r>
        <w:t xml:space="preserve">Domestic players like Ping An Good Doctor dominate GP telehealth sales with lower pricing. Our premium positioning requires emphasizing clinical validation data in all Beijing pitches.</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Beijing's GP market potential, we recommend:</w:t>
      </w:r>
    </w:p>
    <w:p>
      <w:pPr>
        <w:numPr>
          <w:ilvl w:val="0"/>
          <w:numId w:val="1002"/>
        </w:numPr>
        <w:pStyle w:val="Compact"/>
      </w:pPr>
      <w:r>
        <w:rPr>
          <w:bCs/>
          <w:b/>
        </w:rPr>
        <w:t xml:space="preserve">Localize Training Programs:</w:t>
      </w:r>
      <w:r>
        <w:t xml:space="preserve"> </w:t>
      </w:r>
      <w:r>
        <w:t xml:space="preserve">Co-develop "Beijing GP Certification Workshops" with the Beijing Medical Association. This addresses a critical sales barrier: only 41% of current Doctor General Practitioners in Beijing are certified in telehealth management (vs. national avg. of 63%).</w:t>
      </w:r>
    </w:p>
    <w:p>
      <w:pPr>
        <w:numPr>
          <w:ilvl w:val="0"/>
          <w:numId w:val="1002"/>
        </w:numPr>
        <w:pStyle w:val="Compact"/>
      </w:pPr>
      <w:r>
        <w:rPr>
          <w:bCs/>
          <w:b/>
        </w:rPr>
        <w:t xml:space="preserve">Target Tier-2 Districts:</w:t>
      </w:r>
      <w:r>
        <w:t xml:space="preserve"> </w:t>
      </w:r>
      <w:r>
        <w:t xml:space="preserve">Shift focus from core districts (Chaoyang) to high-growth areas like Yanqing and Daxing, where government subsidies for GP infrastructure increased by 17% in Q2 2023.</w:t>
      </w:r>
    </w:p>
    <w:p>
      <w:pPr>
        <w:numPr>
          <w:ilvl w:val="0"/>
          <w:numId w:val="1002"/>
        </w:numPr>
        <w:pStyle w:val="Compact"/>
      </w:pPr>
      <w:r>
        <w:rPr>
          <w:bCs/>
          <w:b/>
        </w:rPr>
        <w:t xml:space="preserve">Policy-Driven Bundling:</w:t>
      </w:r>
      <w:r>
        <w:t xml:space="preserve"> </w:t>
      </w:r>
      <w:r>
        <w:t xml:space="preserve">Package diagnostic kits with our software at a "Healthy Beijing Initiative" discount (15% off), directly aligning with municipal reimbursement policies for primary care services.</w:t>
      </w:r>
    </w:p>
    <w:bookmarkEnd w:id="24"/>
    <w:bookmarkStart w:id="25" w:name="X24514a29dc37b883718a5a8ff15cf55bf6b62db"/>
    <w:p>
      <w:pPr>
        <w:pStyle w:val="Heading2"/>
      </w:pPr>
      <w:r>
        <w:t xml:space="preserve">Conclusion: The Doctor General Practitioner Imperative in China Beijing</w:t>
      </w:r>
    </w:p>
    <w:p>
      <w:pPr>
        <w:pStyle w:val="FirstParagraph"/>
      </w:pPr>
      <w:r>
        <w:t xml:space="preserve">This Sales Report confirms that Beijing represents the most promising market for Doctor General Practitioner solutions within China. With government mandates accelerating GP network expansion and a $1.8B annual investment in community health infrastructure, the sales opportunity is both urgent and scalable. Our current 22% revenue growth demonstrates strong market fit, but sustained success requires deeper integration with Beijing’s healthcare ecosystem—from policy compliance to cultural nuance.</w:t>
      </w:r>
    </w:p>
    <w:p>
      <w:pPr>
        <w:pStyle w:val="BodyText"/>
      </w:pPr>
      <w:r>
        <w:t xml:space="preserve">As the capital city driving China's healthcare reform, Beijing’s evolution as a Doctor General Practitioner hub will set the template for national scaling. We project 35% sales growth in Q4 2023 through targeted initiatives outlined above, solidifying our position as the premier solution provider for GP services in Beijing, China. The path forward demands not just product excellence but strategic partnership with Beijing's health authorities to ensure every Doctor General Practitioner has the tools to serve their community effectively.</w:t>
      </w:r>
    </w:p>
    <w:p>
      <w:pPr>
        <w:pStyle w:val="BodyText"/>
      </w:pPr>
      <w:r>
        <w:t xml:space="preserve">"In Beijing, where healthcare meets policy at scale, the General Practitioner is no longer just a doctor—they are the cornerstone of China's healthcare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Market Analysis in Beijing, China</dc:title>
  <dc:creator/>
  <dc:language>en</dc:language>
  <cp:keywords/>
  <dcterms:created xsi:type="dcterms:W3CDTF">2026-07-23T04:03:23Z</dcterms:created>
  <dcterms:modified xsi:type="dcterms:W3CDTF">2026-07-23T04:03:23Z</dcterms:modified>
</cp:coreProperties>
</file>

<file path=docProps/custom.xml><?xml version="1.0" encoding="utf-8"?>
<Properties xmlns="http://schemas.openxmlformats.org/officeDocument/2006/custom-properties" xmlns:vt="http://schemas.openxmlformats.org/officeDocument/2006/docPropsVTypes"/>
</file>