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Expansion</w:t>
      </w:r>
      <w:r>
        <w:t xml:space="preserve"> </w:t>
      </w:r>
      <w:r>
        <w:t xml:space="preserve">in</w:t>
      </w:r>
      <w:r>
        <w:t xml:space="preserve"> </w:t>
      </w:r>
      <w:r>
        <w:t xml:space="preserve">China</w:t>
      </w:r>
      <w:r>
        <w:t xml:space="preserve"> </w:t>
      </w:r>
      <w:r>
        <w:t xml:space="preserve">Guangzhou</w:t>
      </w:r>
    </w:p>
    <w:bookmarkStart w:id="28" w:name="X3239a4c512d019be67647c9380d51006633617a"/>
    <w:p>
      <w:pPr>
        <w:pStyle w:val="Heading1"/>
      </w:pPr>
      <w:r>
        <w:t xml:space="preserve">Q4 2023 Sales Report: Doctor General Practitioner Service Expansion in China Guangzhou Market</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Board of Directors, Guangzhou Healthcare Innovation Group</w:t>
      </w:r>
      <w:r>
        <w:br/>
      </w:r>
      <w:r>
        <w:rPr>
          <w:bCs/>
          <w:b/>
        </w:rPr>
        <w:t xml:space="preserve">Prepared By:</w:t>
      </w:r>
      <w:r>
        <w:t xml:space="preserve"> </w:t>
      </w:r>
      <w:r>
        <w:t xml:space="preserve">Sales Strategy Division</w:t>
      </w:r>
    </w:p>
    <w:bookmarkStart w:id="20" w:name="i.-executive-summary"/>
    <w:p>
      <w:pPr>
        <w:pStyle w:val="Heading2"/>
      </w:pPr>
      <w:r>
        <w:t xml:space="preserve">I. Executive Summary</w:t>
      </w:r>
    </w:p>
    <w:p>
      <w:pPr>
        <w:pStyle w:val="FirstParagraph"/>
      </w:pPr>
      <w:r>
        <w:t xml:space="preserve">This report details the performance and strategic progress of the "Doctor General Practitioner" (DGP) service initiative within Guangzhou, China's southern economic hub. Following a targeted market entry in Q3 2023, the DGP model has demonstrated significant traction across Guangzhou's urban and suburban districts, achieving a 187% year-over-year growth in patient acquisition and exceeding revenue targets by 23%. The success is directly attributed to aligning the service with Guangzhou's healthcare reform priorities, leveraging local infrastructure, and adapting to the specific needs of China Guangzhou residents. This report confirms the DGP model as a high-potential solution for primary care delivery in China's most populous city.</w:t>
      </w:r>
    </w:p>
    <w:bookmarkEnd w:id="20"/>
    <w:bookmarkStart w:id="21" w:name="X069b80be7a0d3816bb1b69b1b1ce230b52d3523"/>
    <w:p>
      <w:pPr>
        <w:pStyle w:val="Heading2"/>
      </w:pPr>
      <w:r>
        <w:t xml:space="preserve">II. Market Context: Doctor General Practitioner in Guangzhou's Healthcare Landscape</w:t>
      </w:r>
    </w:p>
    <w:p>
      <w:pPr>
        <w:pStyle w:val="FirstParagraph"/>
      </w:pPr>
      <w:r>
        <w:t xml:space="preserve">Guangzhou, home to over 18 million residents and a rapidly aging population, faces critical challenges in accessible primary healthcare. The city's 2023 "Healthy Guangzhou 2035" initiative emphasizes decentralizing care through community-based General Practitioner services. However, traditional models struggle with physician shortages (only 1.8 GPs per 10,000 residents vs. the national target of 3.5) and fragmented patient pathways.</w:t>
      </w:r>
    </w:p>
    <w:p>
      <w:pPr>
        <w:pStyle w:val="BodyText"/>
      </w:pPr>
      <w:r>
        <w:t xml:space="preserve">The "Doctor General Practitioner" concept we deployed specifically addresses this gap by offering integrated, culturally resonant primary care within Guangzhou's existing community health centers (CHCs). Unlike Western GP models, our DGP service incorporates traditional Chinese medicine (TCM) consultations as a core component – a critical adaptation for China Guangzhou patients who expect TCM integration. Each DGP team includes both Western-trained physicians and licensed TCM practitioners, meeting local patient expectations and regulatory requirements under Guangzhou Municipal Health Commission guidelines.</w:t>
      </w:r>
    </w:p>
    <w:bookmarkEnd w:id="21"/>
    <w:bookmarkStart w:id="22" w:name="iii.-sales-performance-analysis-q4-2023"/>
    <w:p>
      <w:pPr>
        <w:pStyle w:val="Heading2"/>
      </w:pPr>
      <w:r>
        <w:t xml:space="preserve">III. Sales Performance Analysis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Q4 2023</w:t>
            </w:r>
          </w:p>
        </w:tc>
        <w:tc>
          <w:tcPr/>
          <w:p>
            <w:pPr>
              <w:pStyle w:val="Compact"/>
              <w:jc w:val="left"/>
            </w:pPr>
            <w:r>
              <w:t xml:space="preserve">Q3 2023 (Launch)</w:t>
            </w:r>
          </w:p>
        </w:tc>
        <w:tc>
          <w:tcPr/>
          <w:p>
            <w:pPr>
              <w:pStyle w:val="Compact"/>
              <w:jc w:val="left"/>
            </w:pPr>
            <w:r>
              <w:t xml:space="preserve">Growth vs Q3</w:t>
            </w:r>
          </w:p>
        </w:tc>
      </w:tr>
      <w:tr>
        <w:tc>
          <w:tcPr/>
          <w:p>
            <w:pPr>
              <w:pStyle w:val="Compact"/>
              <w:jc w:val="left"/>
            </w:pPr>
            <w:r>
              <w:t xml:space="preserve">New Patient Registrations (Guangzhou)</w:t>
            </w:r>
          </w:p>
        </w:tc>
        <w:tc>
          <w:tcPr/>
          <w:p>
            <w:pPr>
              <w:pStyle w:val="Compact"/>
              <w:jc w:val="left"/>
            </w:pPr>
            <w:r>
              <w:t xml:space="preserve">8,450</w:t>
            </w:r>
          </w:p>
        </w:tc>
        <w:tc>
          <w:tcPr/>
          <w:p>
            <w:pPr>
              <w:pStyle w:val="Compact"/>
              <w:jc w:val="left"/>
            </w:pPr>
            <w:r>
              <w:t xml:space="preserve">2,910</w:t>
            </w:r>
          </w:p>
        </w:tc>
        <w:tc>
          <w:tcPr/>
          <w:p>
            <w:pPr>
              <w:pStyle w:val="Compact"/>
              <w:jc w:val="left"/>
            </w:pPr>
            <w:r>
              <w:t xml:space="preserve">+190.4%</w:t>
            </w:r>
          </w:p>
        </w:tc>
      </w:tr>
      <w:tr>
        <w:tc>
          <w:tcPr/>
          <w:p>
            <w:pPr>
              <w:pStyle w:val="Compact"/>
              <w:jc w:val="left"/>
            </w:pPr>
            <w:r>
              <w:t xml:space="preserve">Average Revenue per User (ARPU)</w:t>
            </w:r>
          </w:p>
        </w:tc>
        <w:tc>
          <w:tcPr/>
          <w:p>
            <w:pPr>
              <w:pStyle w:val="Compact"/>
              <w:jc w:val="left"/>
            </w:pPr>
            <w:r>
              <w:t xml:space="preserve">CNY 385</w:t>
            </w:r>
          </w:p>
        </w:tc>
        <w:tc>
          <w:tcPr/>
          <w:p>
            <w:pPr>
              <w:pStyle w:val="Compact"/>
              <w:jc w:val="left"/>
            </w:pPr>
            <w:r>
              <w:t xml:space="preserve">CNY 267</w:t>
            </w:r>
          </w:p>
        </w:tc>
        <w:tc>
          <w:tcPr/>
          <w:p>
            <w:pPr>
              <w:pStyle w:val="Compact"/>
              <w:jc w:val="left"/>
            </w:pPr>
            <w:r>
              <w:t xml:space="preserve">+44.2%</w:t>
            </w:r>
          </w:p>
        </w:tc>
      </w:tr>
      <w:tr>
        <w:tc>
          <w:tcPr/>
          <w:p>
            <w:pPr>
              <w:pStyle w:val="Compact"/>
              <w:jc w:val="left"/>
            </w:pPr>
            <w:r>
              <w:t xml:space="preserve">Subscription Retention Rate (3 Mo.)</w:t>
            </w:r>
          </w:p>
        </w:tc>
        <w:tc>
          <w:tcPr/>
          <w:p>
            <w:pPr>
              <w:pStyle w:val="Compact"/>
              <w:jc w:val="left"/>
            </w:pPr>
            <w:r>
              <w:t xml:space="preserve">87.6%</w:t>
            </w:r>
          </w:p>
        </w:tc>
        <w:tc>
          <w:tcPr/>
          <w:p>
            <w:pPr>
              <w:pStyle w:val="Compact"/>
              <w:jc w:val="left"/>
            </w:pPr>
            <w:r>
              <w:t xml:space="preserve">65.1%</w:t>
            </w:r>
          </w:p>
        </w:tc>
        <w:tc>
          <w:tcPr/>
          <w:p>
            <w:pPr>
              <w:pStyle w:val="Compact"/>
              <w:jc w:val="left"/>
            </w:pPr>
            <w:r>
              <w:t xml:space="preserve">+22.5 pp</w:t>
            </w:r>
          </w:p>
        </w:tc>
      </w:tr>
      <w:tr>
        <w:tc>
          <w:tcPr/>
          <w:p>
            <w:pPr>
              <w:pStyle w:val="Compact"/>
              <w:jc w:val="left"/>
            </w:pPr>
            <w:r>
              <w:t xml:space="preserve">Total Revenue (Guangzhou)</w:t>
            </w:r>
          </w:p>
        </w:tc>
        <w:tc>
          <w:tcPr/>
          <w:p>
            <w:pPr>
              <w:pStyle w:val="Compact"/>
            </w:pPr>
          </w:p>
        </w:tc>
        <w:tc>
          <w:tcPr/>
          <w:p>
            <w:pPr>
              <w:pStyle w:val="Compact"/>
            </w:pPr>
          </w:p>
        </w:tc>
        <w:tc>
          <w:tcPr/>
          <w:p>
            <w:pPr>
              <w:pStyle w:val="Compact"/>
            </w:pPr>
          </w:p>
        </w:tc>
      </w:tr>
      <w:tr>
        <w:tc>
          <w:tcPr/>
          <w:p>
            <w:pPr>
              <w:pStyle w:val="Compact"/>
              <w:jc w:val="left"/>
            </w:pPr>
            <w:r>
              <w:t xml:space="preserve">CNY 3,250,000 (vs Q3: CNY 768,000)</w:t>
            </w:r>
          </w:p>
        </w:tc>
        <w:tc>
          <w:tcPr/>
          <w:p>
            <w:pPr>
              <w:pStyle w:val="Compact"/>
            </w:pPr>
          </w:p>
        </w:tc>
        <w:tc>
          <w:tcPr/>
          <w:p>
            <w:pPr>
              <w:pStyle w:val="Compact"/>
            </w:pPr>
          </w:p>
        </w:tc>
        <w:tc>
          <w:tcPr/>
          <w:p>
            <w:pPr>
              <w:pStyle w:val="Compact"/>
            </w:pPr>
          </w:p>
        </w:tc>
      </w:tr>
    </w:tbl>
    <w:p>
      <w:pPr>
        <w:pStyle w:val="BodyText"/>
      </w:pPr>
      <w:r>
        <w:t xml:space="preserve">Key drivers of this performance include:</w:t>
      </w:r>
    </w:p>
    <w:p>
      <w:pPr>
        <w:numPr>
          <w:ilvl w:val="0"/>
          <w:numId w:val="1001"/>
        </w:numPr>
        <w:pStyle w:val="Compact"/>
      </w:pPr>
      <w:r>
        <w:rPr>
          <w:bCs/>
          <w:b/>
        </w:rPr>
        <w:t xml:space="preserve">Strategic CHC Partnerships:</w:t>
      </w:r>
      <w:r>
        <w:t xml:space="preserve"> </w:t>
      </w:r>
      <w:r>
        <w:t xml:space="preserve">12 community health centers across Baiyun, Yuexiu, and Tianhe districts now host DGP clinics. These locations were selected based on Guangzhou's "15-Minute Healthcare Service Circle" policy, ensuring maximum accessibility.</w:t>
      </w:r>
    </w:p>
    <w:p>
      <w:pPr>
        <w:numPr>
          <w:ilvl w:val="0"/>
          <w:numId w:val="1001"/>
        </w:numPr>
        <w:pStyle w:val="Compact"/>
      </w:pPr>
      <w:r>
        <w:rPr>
          <w:bCs/>
          <w:b/>
        </w:rPr>
        <w:t xml:space="preserve">Hybrid TCM-Western Model:</w:t>
      </w:r>
      <w:r>
        <w:t xml:space="preserve"> </w:t>
      </w:r>
      <w:r>
        <w:t xml:space="preserve">72% of new patients cited the integrated approach as their primary reason for choosing DGP services over standard CHCs or private clinics.</w:t>
      </w:r>
    </w:p>
    <w:p>
      <w:pPr>
        <w:numPr>
          <w:ilvl w:val="0"/>
          <w:numId w:val="1001"/>
        </w:numPr>
        <w:pStyle w:val="Compact"/>
      </w:pPr>
      <w:r>
        <w:rPr>
          <w:bCs/>
          <w:b/>
        </w:rPr>
        <w:t xml:space="preserve">Digital Integration:</w:t>
      </w:r>
      <w:r>
        <w:t xml:space="preserve"> </w:t>
      </w:r>
      <w:r>
        <w:t xml:space="preserve">Seamless integration with Guangzhou's municipal health app (Guangzhou Health Cloud) enabled 68% of appointments to be booked online, aligning with the city's digital healthcare push.</w:t>
      </w:r>
    </w:p>
    <w:bookmarkEnd w:id="22"/>
    <w:bookmarkStart w:id="23" w:name="X4a5854a1049575f3ff8128b071f4bf01ba06d36"/>
    <w:p>
      <w:pPr>
        <w:pStyle w:val="Heading2"/>
      </w:pPr>
      <w:r>
        <w:t xml:space="preserve">IV. Customer Insights: Why China Guangzhou Patients Choose Doctor General Practitioner</w:t>
      </w:r>
    </w:p>
    <w:p>
      <w:pPr>
        <w:pStyle w:val="FirstParagraph"/>
      </w:pPr>
      <w:r>
        <w:t xml:space="preserve">Post-purchase surveys (n=3,105) revealed critical preferences specific to Guangzhou residents:</w:t>
      </w:r>
    </w:p>
    <w:p>
      <w:pPr>
        <w:pStyle w:val="BlockText"/>
      </w:pPr>
      <w:r>
        <w:t xml:space="preserve">"The Doctor General Practitioner service understands both Western diagnostics and TCM treatment. I don't have to switch between clinics for my hypertension management and acupuncture." - Ms. Li, 58, Yuexiu District</w:t>
      </w:r>
    </w:p>
    <w:p>
      <w:pPr>
        <w:pStyle w:val="BlockText"/>
      </w:pPr>
      <w:r>
        <w:t xml:space="preserve">"My DGP clinic is 10 minutes from my home in Tianhe. They speak Cantonese fluently, which made me comfortable discussing my family health history." - Mr. Chen, 42, Baiyun District</w:t>
      </w:r>
    </w:p>
    <w:p>
      <w:pPr>
        <w:pStyle w:val="FirstParagraph"/>
      </w:pPr>
      <w:r>
        <w:t xml:space="preserve">These insights directly validate our localization strategy: The term "Doctor General Practitioner" itself was chosen over "General Practitioner" to avoid clinical jargon unfamiliar to many Guangzhou patients. All marketing materials use Mandarin with Cantonese colloquialisms where appropriate – a key differentiator in China Guangzhou's linguistically diverse market.</w:t>
      </w:r>
    </w:p>
    <w:bookmarkEnd w:id="23"/>
    <w:bookmarkStart w:id="24" w:name="v.-competitive-landscape-differentiation"/>
    <w:p>
      <w:pPr>
        <w:pStyle w:val="Heading2"/>
      </w:pPr>
      <w:r>
        <w:t xml:space="preserve">V. Competitive Landscape &amp; Differentiation</w:t>
      </w:r>
    </w:p>
    <w:p>
      <w:pPr>
        <w:pStyle w:val="FirstParagraph"/>
      </w:pPr>
      <w:r>
        <w:t xml:space="preserve">Guangzhou's primary care market is dominated by government-run CHCs (68% market share) and private clinics (25%). Our DGP model outperforms competitors through:</w:t>
      </w:r>
    </w:p>
    <w:p>
      <w:pPr>
        <w:numPr>
          <w:ilvl w:val="0"/>
          <w:numId w:val="1002"/>
        </w:numPr>
        <w:pStyle w:val="Compact"/>
      </w:pPr>
      <w:r>
        <w:rPr>
          <w:bCs/>
          <w:b/>
        </w:rPr>
        <w:t xml:space="preserve">Cost-Effectiveness:</w:t>
      </w:r>
      <w:r>
        <w:t xml:space="preserve"> </w:t>
      </w:r>
      <w:r>
        <w:t xml:space="preserve">DGP services average 30% lower costs than private alternatives while maintaining quality.</w:t>
      </w:r>
    </w:p>
    <w:p>
      <w:pPr>
        <w:numPr>
          <w:ilvl w:val="0"/>
          <w:numId w:val="1002"/>
        </w:numPr>
        <w:pStyle w:val="Compact"/>
      </w:pPr>
      <w:r>
        <w:rPr>
          <w:bCs/>
          <w:b/>
        </w:rPr>
        <w:t xml:space="preserve">Cultural Trust:</w:t>
      </w:r>
      <w:r>
        <w:t xml:space="preserve"> </w:t>
      </w:r>
      <w:r>
        <w:t xml:space="preserve">The integrated TCM component builds immediate credibility in a market where Western-only care is often met with skepticism.</w:t>
      </w:r>
    </w:p>
    <w:p>
      <w:pPr>
        <w:numPr>
          <w:ilvl w:val="0"/>
          <w:numId w:val="1002"/>
        </w:numPr>
        <w:pStyle w:val="Compact"/>
      </w:pPr>
      <w:r>
        <w:rPr>
          <w:bCs/>
          <w:b/>
        </w:rPr>
        <w:t xml:space="preserve">Systemic Integration:</w:t>
      </w:r>
      <w:r>
        <w:t xml:space="preserve"> </w:t>
      </w:r>
      <w:r>
        <w:t xml:space="preserve">Direct data sharing with Guangzhou's health information platform enables seamless referrals to tertiary hospitals like Sun Yat-sen University Affiliated Hospital.</w:t>
      </w:r>
    </w:p>
    <w:bookmarkEnd w:id="24"/>
    <w:bookmarkStart w:id="25" w:name="X7c465ea14ef29fb4d236ee79800c8e093ef1d06"/>
    <w:p>
      <w:pPr>
        <w:pStyle w:val="Heading2"/>
      </w:pPr>
      <w:r>
        <w:t xml:space="preserve">VI. Challenges &amp; Mitigation Strategies (Guangzhou Specific)</w:t>
      </w:r>
    </w:p>
    <w:p>
      <w:pPr>
        <w:pStyle w:val="FirstParagraph"/>
      </w:pPr>
      <w:r>
        <w:t xml:space="preserve">We encountered two significant hurdles in China Guangzhou:</w:t>
      </w:r>
    </w:p>
    <w:p>
      <w:pPr>
        <w:numPr>
          <w:ilvl w:val="0"/>
          <w:numId w:val="1003"/>
        </w:numPr>
        <w:pStyle w:val="Compact"/>
      </w:pPr>
      <w:r>
        <w:rPr>
          <w:bCs/>
          <w:b/>
        </w:rPr>
        <w:t xml:space="preserve">Physician Recruitment:</w:t>
      </w:r>
      <w:r>
        <w:t xml:space="preserve"> </w:t>
      </w:r>
      <w:r>
        <w:t xml:space="preserve">High competition for medical talent from Guangzhou's top hospitals. *Mitigation:* Partnered with Sun Yat-sen University Medical College for a dedicated DGP training program, yielding 42 new clinicians by Q4.</w:t>
      </w:r>
    </w:p>
    <w:p>
      <w:pPr>
        <w:numPr>
          <w:ilvl w:val="0"/>
          <w:numId w:val="1003"/>
        </w:numPr>
        <w:pStyle w:val="Compact"/>
      </w:pPr>
      <w:r>
        <w:rPr>
          <w:bCs/>
          <w:b/>
        </w:rPr>
        <w:t xml:space="preserve">Patient Insurance Coverage:</w:t>
      </w:r>
      <w:r>
        <w:t xml:space="preserve"> </w:t>
      </w:r>
      <w:r>
        <w:t xml:space="preserve">Initial confusion about DGP service billing under Guangzhou's basic medical insurance. *Mitigation:* Co-developed clear billing guidelines with the Guangzhou Social Insurance Bureau; 100% of our services now align with local reimbursement policies.</w:t>
      </w:r>
    </w:p>
    <w:bookmarkEnd w:id="25"/>
    <w:bookmarkStart w:id="26" w:name="Xe0ae87f1fa8b714656e38430b862365d5584e49"/>
    <w:p>
      <w:pPr>
        <w:pStyle w:val="Heading2"/>
      </w:pPr>
      <w:r>
        <w:t xml:space="preserve">VII. Strategic Recommendations for Q1 2024</w:t>
      </w:r>
    </w:p>
    <w:p>
      <w:pPr>
        <w:pStyle w:val="FirstParagraph"/>
      </w:pPr>
      <w:r>
        <w:t xml:space="preserve">Based on this success, we recommend:</w:t>
      </w:r>
    </w:p>
    <w:p>
      <w:pPr>
        <w:numPr>
          <w:ilvl w:val="0"/>
          <w:numId w:val="1004"/>
        </w:numPr>
        <w:pStyle w:val="Compact"/>
      </w:pPr>
      <w:r>
        <w:rPr>
          <w:bCs/>
          <w:b/>
        </w:rPr>
        <w:t xml:space="preserve">Expand to Huadu &amp; Nansha Districts:</w:t>
      </w:r>
      <w:r>
        <w:t xml:space="preserve"> </w:t>
      </w:r>
      <w:r>
        <w:t xml:space="preserve">Targeting rapidly developing suburbs with high population growth (projected 15% annual increase) where DGP services are currently underserved.</w:t>
      </w:r>
    </w:p>
    <w:p>
      <w:pPr>
        <w:numPr>
          <w:ilvl w:val="0"/>
          <w:numId w:val="1004"/>
        </w:numPr>
        <w:pStyle w:val="Compact"/>
      </w:pPr>
      <w:r>
        <w:rPr>
          <w:bCs/>
          <w:b/>
        </w:rPr>
        <w:t xml:space="preserve">Leverage Guangzhou's Digital Push:</w:t>
      </w:r>
      <w:r>
        <w:t xml:space="preserve"> </w:t>
      </w:r>
      <w:r>
        <w:t xml:space="preserve">Integrate DGP appointments with the city's new "Smart Health" AI assistant, reducing wait times by 40%.</w:t>
      </w:r>
    </w:p>
    <w:p>
      <w:pPr>
        <w:numPr>
          <w:ilvl w:val="0"/>
          <w:numId w:val="1004"/>
        </w:numPr>
        <w:pStyle w:val="Compact"/>
      </w:pPr>
      <w:r>
        <w:rPr>
          <w:bCs/>
          <w:b/>
        </w:rPr>
        <w:t xml:space="preserve">Launch Corporate Wellness Programs:</w:t>
      </w:r>
      <w:r>
        <w:t xml:space="preserve"> </w:t>
      </w:r>
      <w:r>
        <w:t xml:space="preserve">Targeting Guangzhou's tech and manufacturing sectors (e.g., Huawei, Foxconn) for employee health packages – a market showing 28% YoY growth in corporate health demand.</w:t>
      </w:r>
    </w:p>
    <w:bookmarkEnd w:id="26"/>
    <w:bookmarkStart w:id="27" w:name="viii.-conclusion"/>
    <w:p>
      <w:pPr>
        <w:pStyle w:val="Heading2"/>
      </w:pPr>
      <w:r>
        <w:t xml:space="preserve">VIII. Conclusion</w:t>
      </w:r>
    </w:p>
    <w:p>
      <w:pPr>
        <w:pStyle w:val="FirstParagraph"/>
      </w:pPr>
      <w:r>
        <w:t xml:space="preserve">The "Doctor General Practitioner" service model has proven exceptionally well-suited for China Guangzhou's healthcare ecosystem. By embedding cultural nuance (TCM integration), leveraging municipal infrastructure policies, and prioritizing accessibility within the city's unique urban fabric, we have achieved exceptional market penetration in a short timeframe. The DGP framework addresses Guangzhou's critical primary care challenges while generating sustainable revenue. This success provides a replicable blueprint for expanding into other major Chinese cities. We project Q1 2024 revenue growth of 45% and intend to scale the Doctor General Practitioner service to cover 35% of Guangzhou's community health centers by year-end, directly supporting the city's healthcare equity goals.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Doctor General Practitioner Service Expansion in China Guangzhou</dc:title>
  <dc:creator/>
  <dc:language>en</dc:language>
  <cp:keywords/>
  <dcterms:created xsi:type="dcterms:W3CDTF">2025-12-13T09:17:41Z</dcterms:created>
  <dcterms:modified xsi:type="dcterms:W3CDTF">2025-12-13T09:17:41Z</dcterms:modified>
</cp:coreProperties>
</file>

<file path=docProps/custom.xml><?xml version="1.0" encoding="utf-8"?>
<Properties xmlns="http://schemas.openxmlformats.org/officeDocument/2006/custom-properties" xmlns:vt="http://schemas.openxmlformats.org/officeDocument/2006/docPropsVTypes"/>
</file>