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0171f9c5016f1f167bb88569285f1f2f11ca70f"/>
    <w:p>
      <w:pPr>
        <w:pStyle w:val="Heading1"/>
      </w:pPr>
      <w:r>
        <w:t xml:space="preserve">Sales Report: Doctor General Practitioner Services in Colombia Bogotá - Q3 2023 Performance &amp; Strategic Outlook</w:t>
      </w:r>
    </w:p>
    <w:p>
      <w:pPr>
        <w:pStyle w:val="FirstParagraph"/>
      </w:pPr>
      <w:r>
        <w:rPr>
          <w:bCs/>
          <w:b/>
        </w:rPr>
        <w:t xml:space="preserve">Prepared For:</w:t>
      </w:r>
      <w:r>
        <w:t xml:space="preserve"> </w:t>
      </w:r>
      <w:r>
        <w:t xml:space="preserve">Executive Leadership, Medical Practice Management, Healthcare Investors</w:t>
      </w:r>
      <w:r>
        <w:br/>
      </w:r>
      <w:r>
        <w:rPr>
          <w:bCs/>
          <w:b/>
        </w:rPr>
        <w:t xml:space="preserve">Date:</w:t>
      </w:r>
      <w:r>
        <w:t xml:space="preserve"> </w:t>
      </w:r>
      <w:r>
        <w:t xml:space="preserve">October 26, 2023</w:t>
      </w:r>
      <w:r>
        <w:br/>
      </w:r>
      <w:r>
        <w:rPr>
          <w:bCs/>
          <w:b/>
        </w:rPr>
        <w:t xml:space="preserve">Location Focus:</w:t>
      </w:r>
      <w:r>
        <w:t xml:space="preserve"> </w:t>
      </w:r>
      <w:r>
        <w:t xml:space="preserve">Colombia Bogotá (District Capital &amp; National Healthcare Hub)</w:t>
      </w:r>
    </w:p>
    <w:bookmarkStart w:id="20" w:name="i.-executive-summary"/>
    <w:p>
      <w:pPr>
        <w:pStyle w:val="Heading2"/>
      </w:pPr>
      <w:r>
        <w:t xml:space="preserve">I. Executive Summary</w:t>
      </w:r>
    </w:p>
    <w:p>
      <w:pPr>
        <w:pStyle w:val="FirstParagraph"/>
      </w:pPr>
      <w:r>
        <w:t xml:space="preserve">This Sales Report details the performance of Doctor General Practitioner (GP) service utilization and revenue generation across our network of private medical clinics in Colombia Bogotá during Q3 2023. As the most populous city in Colombia with over 8 million residents, Bogotá represents a critical market for primary healthcare services. The report confirms a sustained increase in demand for accessible Doctor General Practitioner consultations, driven by population growth, rising chronic disease prevalence, and evolving patient preferences within the Colombian healthcare landscape. Total sales revenue from GP services reached COP 128.5 billion (USD $30.2 million), reflecting a 14.7% year-over-year increase and exceeding our Q3 target by 8.2%. This growth underscores the strategic importance of Doctor General Practitioner availability as a cornerstone of our Bogotá-based healthcare business model.</w:t>
      </w:r>
    </w:p>
    <w:bookmarkEnd w:id="20"/>
    <w:bookmarkStart w:id="21" w:name="Xee8db50ef23c4da1311a9107574f81d97041a66"/>
    <w:p>
      <w:pPr>
        <w:pStyle w:val="Heading2"/>
      </w:pPr>
      <w:r>
        <w:t xml:space="preserve">II. Colombia Bogotá Market Context &amp; Demand Drivers</w:t>
      </w:r>
    </w:p>
    <w:p>
      <w:pPr>
        <w:pStyle w:val="FirstParagraph"/>
      </w:pPr>
      <w:r>
        <w:t xml:space="preserve">The City of Bogotá operates within Colombia's complex healthcare system, where approximately 75% of the population is covered by public health insurance (EPS) and 25% relies on private plans or out-of-pocket payments. Within this context, Doctor General Practitioner services are the primary access point for routine care, preventive medicine, and initial diagnosis. Key demand drivers specific to Colombia Bogotá include:</w:t>
      </w:r>
    </w:p>
    <w:p>
      <w:pPr>
        <w:numPr>
          <w:ilvl w:val="0"/>
          <w:numId w:val="1001"/>
        </w:numPr>
        <w:pStyle w:val="Compact"/>
      </w:pPr>
      <w:r>
        <w:rPr>
          <w:bCs/>
          <w:b/>
        </w:rPr>
        <w:t xml:space="preserve">Urban Population Density:</w:t>
      </w:r>
      <w:r>
        <w:t xml:space="preserve"> </w:t>
      </w:r>
      <w:r>
        <w:t xml:space="preserve">Bogotá's high population density (over 1300 people/km² in central zones) creates significant pressure on primary care infrastructure, making efficient Doctor General Practitioner services essential.</w:t>
      </w:r>
    </w:p>
    <w:p>
      <w:pPr>
        <w:numPr>
          <w:ilvl w:val="0"/>
          <w:numId w:val="1001"/>
        </w:numPr>
        <w:pStyle w:val="Compact"/>
      </w:pPr>
      <w:r>
        <w:rPr>
          <w:bCs/>
          <w:b/>
        </w:rPr>
        <w:t xml:space="preserve">Chronic Disease Burden:</w:t>
      </w:r>
      <w:r>
        <w:t xml:space="preserve"> </w:t>
      </w:r>
      <w:r>
        <w:t xml:space="preserve">Colombia ranks among the highest in Latin America for hypertension and diabetes. Bogotá clinics report that 68% of GP consultations address chronic condition management, directly impacting service volume and revenue streams.</w:t>
      </w:r>
    </w:p>
    <w:p>
      <w:pPr>
        <w:numPr>
          <w:ilvl w:val="0"/>
          <w:numId w:val="1001"/>
        </w:numPr>
        <w:pStyle w:val="Compact"/>
      </w:pPr>
      <w:r>
        <w:rPr>
          <w:bCs/>
          <w:b/>
        </w:rPr>
        <w:t xml:space="preserve">Telemedicine Integration:</w:t>
      </w:r>
      <w:r>
        <w:t xml:space="preserve"> </w:t>
      </w:r>
      <w:r>
        <w:t xml:space="preserve">Following rapid adoption during the pandemic, teleconsultations with Doctor General Practitioners now constitute 27% of total GP visits in our Bogotá network. This hybrid model significantly expanded accessibility and contributed to the 14.7% sales growth.</w:t>
      </w:r>
    </w:p>
    <w:p>
      <w:pPr>
        <w:numPr>
          <w:ilvl w:val="0"/>
          <w:numId w:val="1001"/>
        </w:numPr>
        <w:pStyle w:val="Compact"/>
      </w:pPr>
      <w:r>
        <w:rPr>
          <w:bCs/>
          <w:b/>
        </w:rPr>
        <w:t xml:space="preserve">Private Sector Demand:</w:t>
      </w:r>
      <w:r>
        <w:t xml:space="preserve"> </w:t>
      </w:r>
      <w:r>
        <w:t xml:space="preserve">Rising middle-class affluence in Bogotá suburbs (e.g., Chapinero, Usaquén, Fontibón) fuels demand for premium GP services with shorter wait times and personalized care, a key revenue differentiator.</w:t>
      </w:r>
    </w:p>
    <w:bookmarkEnd w:id="21"/>
    <w:bookmarkStart w:id="22" w:name="X51dad5df57c5f871ffcacc8263e8e1af4fa66a2"/>
    <w:p>
      <w:pPr>
        <w:pStyle w:val="Heading2"/>
      </w:pPr>
      <w:r>
        <w:t xml:space="preserve">III. Sales Performance: Doctor General Practitioner Services - Bogotá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 Change (YoY)</w:t>
            </w:r>
          </w:p>
        </w:tc>
      </w:tr>
      <w:tr>
        <w:tc>
          <w:tcPr/>
          <w:p>
            <w:pPr>
              <w:pStyle w:val="Compact"/>
              <w:jc w:val="left"/>
            </w:pPr>
            <w:r>
              <w:t xml:space="preserve">Total GP Consultations</w:t>
            </w:r>
          </w:p>
        </w:tc>
        <w:tc>
          <w:tcPr/>
          <w:p>
            <w:pPr>
              <w:pStyle w:val="Compact"/>
              <w:jc w:val="left"/>
            </w:pPr>
            <w:r>
              <w:t xml:space="preserve">48,750</w:t>
            </w:r>
          </w:p>
        </w:tc>
        <w:tc>
          <w:tcPr/>
          <w:p>
            <w:pPr>
              <w:pStyle w:val="Compact"/>
              <w:jc w:val="left"/>
            </w:pPr>
            <w:r>
              <w:t xml:space="preserve">42,500</w:t>
            </w:r>
          </w:p>
        </w:tc>
        <w:tc>
          <w:tcPr/>
          <w:p>
            <w:pPr>
              <w:pStyle w:val="Compact"/>
              <w:jc w:val="left"/>
            </w:pPr>
            <w:r>
              <w:t xml:space="preserve">+14.7%</w:t>
            </w:r>
          </w:p>
        </w:tc>
      </w:tr>
      <w:tr>
        <w:tc>
          <w:tcPr/>
          <w:p>
            <w:pPr>
              <w:pStyle w:val="Compact"/>
              <w:jc w:val="left"/>
            </w:pPr>
            <w:r>
              <w:t xml:space="preserve">Average Revenue per GP Consultation (COP)</w:t>
            </w:r>
          </w:p>
        </w:tc>
        <w:tc>
          <w:tcPr/>
          <w:p>
            <w:pPr>
              <w:pStyle w:val="Compact"/>
              <w:jc w:val="left"/>
            </w:pPr>
            <w:r>
              <w:t xml:space="preserve">2,636,000</w:t>
            </w:r>
          </w:p>
        </w:tc>
        <w:tc>
          <w:tcPr/>
          <w:p>
            <w:pPr>
              <w:pStyle w:val="Compact"/>
              <w:jc w:val="left"/>
            </w:pPr>
            <w:r>
              <w:t xml:space="preserve">2,585,000</w:t>
            </w:r>
          </w:p>
        </w:tc>
        <w:tc>
          <w:tcPr/>
          <w:p>
            <w:pPr>
              <w:pStyle w:val="Compact"/>
              <w:jc w:val="left"/>
            </w:pPr>
            <w:r>
              <w:t xml:space="preserve">+1.97%</w:t>
            </w:r>
          </w:p>
        </w:tc>
      </w:tr>
      <w:tr>
        <w:tc>
          <w:tcPr/>
          <w:p>
            <w:pPr>
              <w:pStyle w:val="Compact"/>
              <w:jc w:val="left"/>
            </w:pPr>
            <w:r>
              <w:t xml:space="preserve">Total GP Revenue (COP)</w:t>
            </w:r>
          </w:p>
        </w:tc>
        <w:tc>
          <w:tcPr/>
          <w:p>
            <w:pPr>
              <w:pStyle w:val="Compact"/>
              <w:jc w:val="left"/>
            </w:pPr>
            <w:r>
              <w:t xml:space="preserve">128,542,500,000</w:t>
            </w:r>
          </w:p>
        </w:tc>
        <w:tc>
          <w:tcPr/>
          <w:p>
            <w:pPr>
              <w:pStyle w:val="Compact"/>
              <w:jc w:val="left"/>
            </w:pPr>
            <w:r>
              <w:t xml:space="preserve">112,375,000,000</w:t>
            </w:r>
          </w:p>
        </w:tc>
        <w:tc>
          <w:tcPr/>
          <w:p>
            <w:pPr>
              <w:pStyle w:val="Compact"/>
              <w:jc w:val="left"/>
            </w:pPr>
            <w:r>
              <w:t xml:space="preserve">+14.4%</w:t>
            </w:r>
          </w:p>
        </w:tc>
      </w:tr>
      <w:tr>
        <w:tc>
          <w:tcPr/>
          <w:p>
            <w:pPr>
              <w:pStyle w:val="Compact"/>
              <w:jc w:val="left"/>
            </w:pPr>
            <w:r>
              <w:t xml:space="preserve">Telemedicine GP Consultations (% of Total)</w:t>
            </w:r>
          </w:p>
        </w:tc>
        <w:tc>
          <w:tcPr/>
          <w:p>
            <w:pPr>
              <w:pStyle w:val="Compact"/>
              <w:jc w:val="left"/>
            </w:pPr>
            <w:r>
              <w:t xml:space="preserve">27%</w:t>
            </w:r>
          </w:p>
        </w:tc>
        <w:tc>
          <w:tcPr/>
          <w:p>
            <w:pPr>
              <w:pStyle w:val="Compact"/>
              <w:jc w:val="left"/>
            </w:pPr>
            <w:r>
              <w:t xml:space="preserve">21%</w:t>
            </w:r>
          </w:p>
        </w:tc>
        <w:tc>
          <w:tcPr/>
          <w:p>
            <w:pPr>
              <w:pStyle w:val="Compact"/>
              <w:jc w:val="left"/>
            </w:pPr>
            <w:r>
              <w:t xml:space="preserve">+6 pp</w:t>
            </w:r>
          </w:p>
        </w:tc>
      </w:tr>
    </w:tbl>
    <w:p>
      <w:pPr>
        <w:pStyle w:val="BodyText"/>
      </w:pPr>
      <w:r>
        <w:rPr>
          <w:bCs/>
          <w:b/>
        </w:rPr>
        <w:t xml:space="preserve">Note:</w:t>
      </w:r>
      <w:r>
        <w:t xml:space="preserve"> </w:t>
      </w:r>
      <w:r>
        <w:t xml:space="preserve">All figures reflect transactions within our private healthcare network operating exclusively across Colombia Bogotá.</w:t>
      </w:r>
    </w:p>
    <w:bookmarkEnd w:id="22"/>
    <w:bookmarkStart w:id="23" w:name="Xc49df6bf78d1b5e3175aa37aa6cd4cb235e1412"/>
    <w:p>
      <w:pPr>
        <w:pStyle w:val="Heading2"/>
      </w:pPr>
      <w:r>
        <w:t xml:space="preserve">IV. Client Acquisition &amp; Retention Strategies Driving Sales</w:t>
      </w:r>
    </w:p>
    <w:p>
      <w:pPr>
        <w:pStyle w:val="FirstParagraph"/>
      </w:pPr>
      <w:r>
        <w:t xml:space="preserve">Sustained growth in Doctor General Practitioner sales is attributed to targeted strategies resonating with the Bogotá market:</w:t>
      </w:r>
    </w:p>
    <w:p>
      <w:pPr>
        <w:numPr>
          <w:ilvl w:val="0"/>
          <w:numId w:val="1002"/>
        </w:numPr>
        <w:pStyle w:val="Compact"/>
      </w:pPr>
      <w:r>
        <w:rPr>
          <w:bCs/>
          <w:b/>
        </w:rPr>
        <w:t xml:space="preserve">Local Community Partnerships:</w:t>
      </w:r>
      <w:r>
        <w:t xml:space="preserve"> </w:t>
      </w:r>
      <w:r>
        <w:t xml:space="preserve">Collaborations with prominent Colombian employers (e.g., Telefónica Colombia, Bancolombia HQ) and residential communities in key Bogotá districts have secured 32 new corporate wellness contracts specifically for GP services, representing 18% of Q3 revenue.</w:t>
      </w:r>
    </w:p>
    <w:p>
      <w:pPr>
        <w:numPr>
          <w:ilvl w:val="0"/>
          <w:numId w:val="1002"/>
        </w:numPr>
        <w:pStyle w:val="Compact"/>
      </w:pPr>
      <w:r>
        <w:rPr>
          <w:bCs/>
          <w:b/>
        </w:rPr>
        <w:t xml:space="preserve">Brand Positioning as "Bogotá's Primary Care Solution":</w:t>
      </w:r>
      <w:r>
        <w:t xml:space="preserve"> </w:t>
      </w:r>
      <w:r>
        <w:t xml:space="preserve">Marketing emphasizes the accessibility and expertise of our Doctor General Practitioner network within Colombia Bogotá. Campaigns highlight reduced wait times (average 48-hour appointment window vs. city average of 10 days) and bilingual (Spanish/English) GP availability for expatriate communities.</w:t>
      </w:r>
    </w:p>
    <w:p>
      <w:pPr>
        <w:numPr>
          <w:ilvl w:val="0"/>
          <w:numId w:val="1002"/>
        </w:numPr>
        <w:pStyle w:val="Compact"/>
      </w:pPr>
      <w:r>
        <w:rPr>
          <w:bCs/>
          <w:b/>
        </w:rPr>
        <w:t xml:space="preserve">Value-Based Care Bundles:</w:t>
      </w:r>
      <w:r>
        <w:t xml:space="preserve"> </w:t>
      </w:r>
      <w:r>
        <w:t xml:space="preserve">Introduction of tiered packages (e.g., "Wellness Guardian" for families, "Chronic Care Manager" for diabetics) increased client retention by 22% and boosted average revenue per active patient by 17% in Bogotá.</w:t>
      </w:r>
    </w:p>
    <w:bookmarkEnd w:id="23"/>
    <w:bookmarkStart w:id="24" w:name="X7fccd4021b75f9f4228adaa8a6e634530c6a31a"/>
    <w:p>
      <w:pPr>
        <w:pStyle w:val="Heading2"/>
      </w:pPr>
      <w:r>
        <w:t xml:space="preserve">V. Challenges &amp; Competitive Landscape in Colombia Bogotá</w:t>
      </w:r>
    </w:p>
    <w:p>
      <w:pPr>
        <w:pStyle w:val="FirstParagraph"/>
      </w:pPr>
      <w:r>
        <w:t xml:space="preserve">Despite strong growth, the Doctor General Practitioner market in Colombia Bogotá faces challenges requiring strategic response:</w:t>
      </w:r>
    </w:p>
    <w:p>
      <w:pPr>
        <w:numPr>
          <w:ilvl w:val="0"/>
          <w:numId w:val="1003"/>
        </w:numPr>
        <w:pStyle w:val="Compact"/>
      </w:pPr>
      <w:r>
        <w:rPr>
          <w:bCs/>
          <w:b/>
        </w:rPr>
        <w:t xml:space="preserve">Provider Shortage:</w:t>
      </w:r>
      <w:r>
        <w:t xml:space="preserve"> </w:t>
      </w:r>
      <w:r>
        <w:t xml:space="preserve">Bogotá faces a critical shortage of licensed Doctor General Practitioners. Our recruitment efforts saw 12% higher competition for qualified GPs compared to Q2, impacting capacity expansion plans.</w:t>
      </w:r>
    </w:p>
    <w:p>
      <w:pPr>
        <w:numPr>
          <w:ilvl w:val="0"/>
          <w:numId w:val="1003"/>
        </w:numPr>
        <w:pStyle w:val="Compact"/>
      </w:pPr>
      <w:r>
        <w:rPr>
          <w:bCs/>
          <w:b/>
        </w:rPr>
        <w:t xml:space="preserve">Pricing Pressure:</w:t>
      </w:r>
      <w:r>
        <w:t xml:space="preserve"> </w:t>
      </w:r>
      <w:r>
        <w:t xml:space="preserve">Public EPS reimbursement rates for GP visits remain low (COP 1,500,000), forcing private clinics like ours to balance affordability with sustainable revenue. Our average COP 2,636,000 consultation fee reflects the premium we charge for convenience and quality in Bogotá's competitive landscape.</w:t>
      </w:r>
    </w:p>
    <w:p>
      <w:pPr>
        <w:numPr>
          <w:ilvl w:val="0"/>
          <w:numId w:val="1003"/>
        </w:numPr>
        <w:pStyle w:val="Compact"/>
      </w:pPr>
      <w:r>
        <w:rPr>
          <w:bCs/>
          <w:b/>
        </w:rPr>
        <w:t xml:space="preserve">Emerging Competitors:</w:t>
      </w:r>
      <w:r>
        <w:t xml:space="preserve"> </w:t>
      </w:r>
      <w:r>
        <w:t xml:space="preserve">New telehealth platforms targeting Colombia Bogotá are intensifying price competition in the digital GP space, particularly among younger demographics.</w:t>
      </w:r>
    </w:p>
    <w:bookmarkEnd w:id="24"/>
    <w:bookmarkStart w:id="25" w:name="X987cd6b07cbab35859f0517dc41330804205735"/>
    <w:p>
      <w:pPr>
        <w:pStyle w:val="Heading2"/>
      </w:pPr>
      <w:r>
        <w:t xml:space="preserve">VI. Strategic Recommendations for Q4 2023 &amp; Beyond</w:t>
      </w:r>
    </w:p>
    <w:p>
      <w:pPr>
        <w:pStyle w:val="FirstParagraph"/>
      </w:pPr>
      <w:r>
        <w:t xml:space="preserve">To capitalize on the Doctor General Practitioner opportunity and solidify our position within Colombia Bogotá's healthcare market, we recommend:</w:t>
      </w:r>
    </w:p>
    <w:p>
      <w:pPr>
        <w:numPr>
          <w:ilvl w:val="0"/>
          <w:numId w:val="1004"/>
        </w:numPr>
        <w:pStyle w:val="Compact"/>
      </w:pPr>
      <w:r>
        <w:rPr>
          <w:bCs/>
          <w:b/>
        </w:rPr>
        <w:t xml:space="preserve">Expand GP Capacity in High-Demand Zones:</w:t>
      </w:r>
      <w:r>
        <w:t xml:space="preserve"> </w:t>
      </w:r>
      <w:r>
        <w:t xml:space="preserve">Allocate 40% of Q4 recruitment budget to hire GPs for clinics in rapidly growing Bogotá districts (e.g., Soacha, Ciudad Bolívar), aligning with population migration patterns.</w:t>
      </w:r>
    </w:p>
    <w:p>
      <w:pPr>
        <w:numPr>
          <w:ilvl w:val="0"/>
          <w:numId w:val="1004"/>
        </w:numPr>
        <w:pStyle w:val="Compact"/>
      </w:pPr>
      <w:r>
        <w:rPr>
          <w:bCs/>
          <w:b/>
        </w:rPr>
        <w:t xml:space="preserve">Pioneer Integrated Chronic Disease Management:</w:t>
      </w:r>
      <w:r>
        <w:t xml:space="preserve"> </w:t>
      </w:r>
      <w:r>
        <w:t xml:space="preserve">Develop a branded platform linking GP consultations, specialist referrals (within our network), and medication adherence tracking specifically for hypertension/diabetes – directly addressing Colombia's top health burden in Bogotá.</w:t>
      </w:r>
    </w:p>
    <w:p>
      <w:pPr>
        <w:numPr>
          <w:ilvl w:val="0"/>
          <w:numId w:val="1004"/>
        </w:numPr>
        <w:pStyle w:val="Compact"/>
      </w:pPr>
      <w:r>
        <w:rPr>
          <w:bCs/>
          <w:b/>
        </w:rPr>
        <w:t xml:space="preserve">Leverage Bogotá's Digital Infrastructure:</w:t>
      </w:r>
      <w:r>
        <w:t xml:space="preserve"> </w:t>
      </w:r>
      <w:r>
        <w:t xml:space="preserve">Partner with major Colombian fintechs to streamline payment options for GP services, targeting the 72% of Bogotá residents using mobile banking, enhancing customer acquisition efficiency.</w:t>
      </w:r>
    </w:p>
    <w:p>
      <w:pPr>
        <w:numPr>
          <w:ilvl w:val="0"/>
          <w:numId w:val="1004"/>
        </w:numPr>
        <w:pStyle w:val="Compact"/>
      </w:pPr>
      <w:r>
        <w:rPr>
          <w:bCs/>
          <w:b/>
        </w:rPr>
        <w:t xml:space="preserve">Enhance Public-Private Collaboration:</w:t>
      </w:r>
      <w:r>
        <w:t xml:space="preserve"> </w:t>
      </w:r>
      <w:r>
        <w:t xml:space="preserve">Propose pilot programs with EPS providers to improve referral pathways from public clinics to our private Doctor General Practitioner network in Bogotá, expanding reach while supporting Colombia's healthcare system goals.</w:t>
      </w:r>
    </w:p>
    <w:bookmarkEnd w:id="25"/>
    <w:bookmarkStart w:id="26" w:name="vii.-conclusion"/>
    <w:p>
      <w:pPr>
        <w:pStyle w:val="Heading2"/>
      </w:pPr>
      <w:r>
        <w:t xml:space="preserve">VII. Conclusion</w:t>
      </w:r>
    </w:p>
    <w:p>
      <w:pPr>
        <w:pStyle w:val="FirstParagraph"/>
      </w:pPr>
      <w:r>
        <w:t xml:space="preserve">The Q3 2023 Sales Report for Doctor General Practitioner services in Colombia Bogotá confirms a robust and growing market opportunity. With population demands steadily increasing, the value proposition of accessible, high-quality primary care delivered by skilled Doctor General Practitioners continues to drive significant sales performance. Our network's ability to adapt through telemedicine integration, strategic partnerships within Bogotá, and tailored service bundles has been instrumental in outperforming market growth rates. As Colombia's healthcare landscape evolves, particularly within the dynamic economic hub of Bogotá, the role of the Doctor General Practitioner as a revenue generator and patient access point remains unequivocally central to our business strategy. Sustained investment in this core service line will be paramount for securing long-term success in Colombia Bogotá's competitive healthcare sector. Continued focus on optimizing the Doctor General Practitioner experience while navigating the unique challenges of Colombia's market will ensure our sales momentum continues into 2024 and beyond.</w:t>
      </w:r>
    </w:p>
    <w:p>
      <w:pPr>
        <w:pStyle w:val="BodyText"/>
      </w:pPr>
      <w:r>
        <w:rPr>
          <w:iCs/>
          <w:i/>
        </w:rPr>
        <w:t xml:space="preserve">Prepared by: Healthcare Solutions Division, Bogotá Operations</w:t>
      </w:r>
      <w:r>
        <w:br/>
      </w:r>
      <w:r>
        <w:rPr>
          <w:iCs/>
          <w:i/>
        </w:rPr>
        <w:t xml:space="preserve">Colombia | Bogotá | Q3 2023 Sales Performance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Colombia Bogotá Market Analysis</dc:title>
  <dc:creator/>
  <cp:keywords/>
  <dcterms:created xsi:type="dcterms:W3CDTF">2025-12-11T06:29:44Z</dcterms:created>
  <dcterms:modified xsi:type="dcterms:W3CDTF">2025-12-11T06:29:44Z</dcterms:modified>
</cp:coreProperties>
</file>

<file path=docProps/custom.xml><?xml version="1.0" encoding="utf-8"?>
<Properties xmlns="http://schemas.openxmlformats.org/officeDocument/2006/custom-properties" xmlns:vt="http://schemas.openxmlformats.org/officeDocument/2006/docPropsVTypes"/>
</file>