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Medellín</w:t>
      </w:r>
      <w:r>
        <w:t xml:space="preserve"> </w:t>
      </w:r>
      <w:r>
        <w:t xml:space="preserve">General</w:t>
      </w:r>
      <w:r>
        <w:t xml:space="preserve"> </w:t>
      </w:r>
      <w:r>
        <w:t xml:space="preserve">Practitioner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8" w:name="X30a1a590152eb05b0610670dd6a0dc879d29e10"/>
    <w:p>
      <w:pPr>
        <w:pStyle w:val="Heading1"/>
      </w:pPr>
      <w:r>
        <w:t xml:space="preserve">Comprehensive Sales Performance Report: Doctor General Practitioner Services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Management Board, Medellín Municipal Health Authority</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General Practitioner (GP) services across key healthcare facilities in Colombia Medellín during Q3 2023. The analysis reveals robust growth in patient consultations (+18.7% YoY) and revenue generation, positioning our Doctor General Practitioner network as a critical pillar of Medellín's primary healthcare infrastructure. Despite regional economic challenges, the GP sector demonstrated exceptional resilience through strategic community engagement and digital health integration—proving indispensable to Colombia's universal healthcare goals in Medellín.</w:t>
      </w:r>
    </w:p>
    <w:bookmarkEnd w:id="20"/>
    <w:bookmarkStart w:id="21" w:name="Xec7586f5afebc851ddeeb1be66c4d0a771bd960"/>
    <w:p>
      <w:pPr>
        <w:pStyle w:val="Heading2"/>
      </w:pPr>
      <w:r>
        <w:t xml:space="preserve">II. Regional Context: Colombia Medellín Healthcare Landscape</w:t>
      </w:r>
    </w:p>
    <w:p>
      <w:pPr>
        <w:pStyle w:val="FirstParagraph"/>
      </w:pPr>
      <w:r>
        <w:t xml:space="preserve">Medellín, Colombia's second-largest city with a population of 2.5 million, faces unique healthcare demands including high urban density, socioeconomic disparities affecting health access, and increasing chronic disease prevalence (diabetes: 14.3%, hypertension: 38.6%). As the cornerstone of Colombia's primary care system under the</w:t>
      </w:r>
      <w:r>
        <w:t xml:space="preserve"> </w:t>
      </w:r>
      <w:r>
        <w:rPr>
          <w:iCs/>
          <w:i/>
        </w:rPr>
        <w:t xml:space="preserve">Sistema de Garantía de Calidad en Salud</w:t>
      </w:r>
      <w:r>
        <w:t xml:space="preserve"> </w:t>
      </w:r>
      <w:r>
        <w:t xml:space="preserve">(SGCS), Doctor General Practitioner services provide the first point of contact for 78% of Medellín residents. This Sales Report specifically analyzes data from 32 public and private GP clinics across Medellín's 16 communes, covering over 450,000 monthly patient interactions.</w:t>
      </w:r>
    </w:p>
    <w:bookmarkEnd w:id="21"/>
    <w:bookmarkStart w:id="22" w:name="iii.-key-performance-indicators-q3-2023"/>
    <w:p>
      <w:pPr>
        <w:pStyle w:val="Heading2"/>
      </w:pPr>
      <w:r>
        <w:t xml:space="preserve">III. Key Performance Indicators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Patient Consultations (Monthly Avg.)</w:t>
      </w:r>
    </w:p>
    <w:p>
      <w:pPr>
        <w:pStyle w:val="BodyText"/>
      </w:pPr>
      <w:r>
        <w:t xml:space="preserve">14,850</w:t>
      </w:r>
    </w:p>
    <w:p>
      <w:pPr>
        <w:pStyle w:val="BodyText"/>
      </w:pPr>
      <w:r>
        <w:t xml:space="preserve">12,510</w:t>
      </w:r>
    </w:p>
    <w:p>
      <w:pPr>
        <w:pStyle w:val="BodyText"/>
      </w:pPr>
      <w:r>
        <w:t xml:space="preserve">+18.7%</w:t>
      </w:r>
    </w:p>
    <w:p>
      <w:pPr>
        <w:pStyle w:val="BodyText"/>
      </w:pPr>
      <w:r>
        <w:t xml:space="preserve">Total Revenue (COP)</w:t>
      </w:r>
    </w:p>
    <w:p>
      <w:pPr>
        <w:pStyle w:val="BodyText"/>
      </w:pPr>
      <w:r>
        <w:t xml:space="preserve">$3,245,600,000</w:t>
      </w:r>
    </w:p>
    <w:p>
      <w:pPr>
        <w:pStyle w:val="BodyText"/>
      </w:pPr>
      <w:r>
        <w:t xml:space="preserve">$2,731,958,496</w:t>
      </w:r>
    </w:p>
    <w:p>
      <w:pPr>
        <w:pStyle w:val="BodyText"/>
      </w:pPr>
      <w:r>
        <w:t xml:space="preserve">+18.8%</w:t>
      </w:r>
    </w:p>
    <w:p>
      <w:pPr>
        <w:pStyle w:val="BodyText"/>
      </w:pPr>
      <w:r>
        <w:t xml:space="preserve">Average Consultation Fee (COP)</w:t>
      </w:r>
    </w:p>
    <w:p>
      <w:pPr>
        <w:pStyle w:val="BodyText"/>
      </w:pPr>
      <w:r>
        <w:t xml:space="preserve">217,345</w:t>
      </w:r>
    </w:p>
    <w:p>
      <w:pPr>
        <w:pStyle w:val="BodyText"/>
      </w:pPr>
      <w:r>
        <w:t xml:space="preserve">210,000</w:t>
      </w:r>
    </w:p>
    <w:p>
      <w:pPr>
        <w:pStyle w:val="BodyText"/>
      </w:pPr>
      <w:r>
        <w:t xml:space="preserve">+3.5%</w:t>
      </w:r>
    </w:p>
    <w:p>
      <w:pPr>
        <w:pStyle w:val="BodyText"/>
      </w:pPr>
      <w:r>
        <w:t xml:space="preserve">Patient Retention Rate</w:t>
      </w:r>
    </w:p>
    <w:p>
      <w:pPr>
        <w:pStyle w:val="BodyText"/>
      </w:pPr>
      <w:r>
        <w:t xml:space="preserve">68.2%</w:t>
      </w:r>
    </w:p>
    <w:p>
      <w:pPr>
        <w:pStyle w:val="BodyText"/>
      </w:pPr>
      <w:r>
        <w:t xml:space="preserve">Digital Appointment Utilization67.9% (vs 48.3% in Q2)</w:t>
      </w:r>
    </w:p>
    <w:p>
      <w:pPr>
        <w:pStyle w:val="BodyText"/>
      </w:pPr>
      <w:r>
        <w:t xml:space="preserve">67.9%</w:t>
      </w:r>
    </w:p>
    <w:p>
      <w:pPr>
        <w:pStyle w:val="BodyText"/>
      </w:pPr>
      <w:r>
        <w:t xml:space="preserve">The 18.7% surge in consultations directly correlates with Medellín's expanded</w:t>
      </w:r>
      <w:r>
        <w:t xml:space="preserve"> </w:t>
      </w:r>
      <w:r>
        <w:rPr>
          <w:iCs/>
          <w:i/>
        </w:rPr>
        <w:t xml:space="preserve">Servicio de Salud Pública</w:t>
      </w:r>
      <w:r>
        <w:t xml:space="preserve"> </w:t>
      </w:r>
      <w:r>
        <w:t xml:space="preserve">(Public Health Service) outreach programs targeting low-income communes like Manrique and Santa Elena. Notably, revenue growth exceeded patient volume increases due to strategic premium service bundling—e.g., "Wellness Packages" combining consultations with basic lab tests (+27% sales conversion).</w:t>
      </w:r>
    </w:p>
    <w:bookmarkEnd w:id="22"/>
    <w:bookmarkStart w:id="23" w:name="Xc6e44d977e79df87b38853b4c4896d92ac96ae6"/>
    <w:p>
      <w:pPr>
        <w:pStyle w:val="Heading2"/>
      </w:pPr>
      <w:r>
        <w:t xml:space="preserve">IV. Geospatial Sales Analysis: Colombia Medellín Focus</w:t>
      </w:r>
    </w:p>
    <w:p>
      <w:pPr>
        <w:pStyle w:val="FirstParagraph"/>
      </w:pPr>
      <w:r>
        <w:t xml:space="preserve">Analysis by Medellín communes reveals significant regional disparities:</w:t>
      </w:r>
    </w:p>
    <w:p>
      <w:pPr>
        <w:numPr>
          <w:ilvl w:val="0"/>
          <w:numId w:val="1001"/>
        </w:numPr>
        <w:pStyle w:val="Compact"/>
      </w:pPr>
      <w:r>
        <w:rPr>
          <w:bCs/>
          <w:b/>
        </w:rPr>
        <w:t xml:space="preserve">Central Communes (El Poblado, Laureles):</w:t>
      </w:r>
      <w:r>
        <w:t xml:space="preserve"> </w:t>
      </w:r>
      <w:r>
        <w:t xml:space="preserve">Highest revenue per clinic ($385M COP/month), driven by private insurance partnerships. However, 9% patient volume decline due to tourism sector volatility.</w:t>
      </w:r>
    </w:p>
    <w:p>
      <w:pPr>
        <w:numPr>
          <w:ilvl w:val="0"/>
          <w:numId w:val="1001"/>
        </w:numPr>
        <w:pStyle w:val="Compact"/>
      </w:pPr>
      <w:r>
        <w:rPr>
          <w:bCs/>
          <w:b/>
        </w:rPr>
        <w:t xml:space="preserve">Eastern Communes (Poblado, Belén):</w:t>
      </w:r>
      <w:r>
        <w:t xml:space="preserve"> </w:t>
      </w:r>
      <w:r>
        <w:t xml:space="preserve">Strongest growth (+24.1%) fueled by government-funded mobile clinics targeting rural-urban migrants.</w:t>
      </w:r>
    </w:p>
    <w:p>
      <w:pPr>
        <w:numPr>
          <w:ilvl w:val="0"/>
          <w:numId w:val="1001"/>
        </w:numPr>
        <w:pStyle w:val="Compact"/>
      </w:pPr>
      <w:r>
        <w:rPr>
          <w:bCs/>
          <w:b/>
        </w:rPr>
        <w:t xml:space="preserve">Western Communes (Comuna 13, San Javier):</w:t>
      </w:r>
      <w:r>
        <w:t xml:space="preserve"> </w:t>
      </w:r>
      <w:r>
        <w:t xml:space="preserve">Highest patient retention (76.4%) through community health worker collaborations—directly supporting Colombia's</w:t>
      </w:r>
      <w:r>
        <w:t xml:space="preserve"> </w:t>
      </w:r>
      <w:r>
        <w:rPr>
          <w:iCs/>
          <w:i/>
        </w:rPr>
        <w:t xml:space="preserve">Promoción de la Salud en Comunidad</w:t>
      </w:r>
      <w:r>
        <w:t xml:space="preserve"> </w:t>
      </w:r>
      <w:r>
        <w:t xml:space="preserve">initiative.</w:t>
      </w:r>
    </w:p>
    <w:p>
      <w:pPr>
        <w:pStyle w:val="FirstParagraph"/>
      </w:pPr>
      <w:r>
        <w:t xml:space="preserve">This regional data validates the Sales Report's core recommendation: decentralizing Doctor General Practitioner services to underserved zones maximizes both social impact and revenue sustainability in Colombia Medellín.</w:t>
      </w:r>
    </w:p>
    <w:bookmarkEnd w:id="23"/>
    <w:bookmarkStart w:id="24" w:name="v.-strategic-initiatives-driving-growth"/>
    <w:p>
      <w:pPr>
        <w:pStyle w:val="Heading2"/>
      </w:pPr>
      <w:r>
        <w:t xml:space="preserve">V. Strategic Initiatives Driving Growth</w:t>
      </w:r>
    </w:p>
    <w:p>
      <w:pPr>
        <w:pStyle w:val="FirstParagraph"/>
      </w:pPr>
      <w:r>
        <w:rPr>
          <w:bCs/>
          <w:b/>
        </w:rPr>
        <w:t xml:space="preserve">1. Telemedicine Integration:</w:t>
      </w:r>
      <w:r>
        <w:t xml:space="preserve"> </w:t>
      </w:r>
      <w:r>
        <w:t xml:space="preserve">Launching the</w:t>
      </w:r>
      <w:r>
        <w:t xml:space="preserve"> </w:t>
      </w:r>
      <w:r>
        <w:rPr>
          <w:iCs/>
          <w:i/>
        </w:rPr>
        <w:t xml:space="preserve">CliniMedellín Virtual</w:t>
      </w:r>
      <w:r>
        <w:t xml:space="preserve"> </w:t>
      </w:r>
      <w:r>
        <w:t xml:space="preserve">platform (partnering with local tech firm TELMED) increased patient access by 31% in hard-to-reach areas like Comuna 8. This digital channel contributed $420M COP to Q3 revenue.</w:t>
      </w:r>
    </w:p>
    <w:p>
      <w:pPr>
        <w:pStyle w:val="BodyText"/>
      </w:pPr>
      <w:r>
        <w:rPr>
          <w:bCs/>
          <w:b/>
        </w:rPr>
        <w:t xml:space="preserve">2. Preventive Care Bundling:</w:t>
      </w:r>
      <w:r>
        <w:t xml:space="preserve"> </w:t>
      </w:r>
      <w:r>
        <w:t xml:space="preserve">Replacing fee-for-service with "Health Pathway" packages (e.g., diabetes management: $1,500,000 COP/month for 3 visits + glucose monitoring) boosted average transaction value by 22% while improving chronic disease control.</w:t>
      </w:r>
    </w:p>
    <w:p>
      <w:pPr>
        <w:pStyle w:val="BodyText"/>
      </w:pPr>
      <w:r>
        <w:rPr>
          <w:bCs/>
          <w:b/>
        </w:rPr>
        <w:t xml:space="preserve">3. Public-Private Partnerships:</w:t>
      </w:r>
      <w:r>
        <w:t xml:space="preserve"> </w:t>
      </w:r>
      <w:r>
        <w:t xml:space="preserve">Collaborating with Medellín's municipal health fund (</w:t>
      </w:r>
      <w:r>
        <w:rPr>
          <w:iCs/>
          <w:i/>
        </w:rPr>
        <w:t xml:space="preserve">Fondo de Promoción de la Salud</w:t>
      </w:r>
      <w:r>
        <w:t xml:space="preserve">) to offer subsidized GP consultations for vulnerable populations (low-income, elderly) drove 14,200 new patients—representing 29% of Q3 growth.</w:t>
      </w:r>
    </w:p>
    <w:bookmarkEnd w:id="24"/>
    <w:bookmarkStart w:id="25" w:name="Xdd6337c66b6e3a7a014a406201af5ec3daba743"/>
    <w:p>
      <w:pPr>
        <w:pStyle w:val="Heading2"/>
      </w:pPr>
      <w:r>
        <w:t xml:space="preserve">VI. Challenges &amp; Market Insights (Colombia Medellín Specific)</w:t>
      </w:r>
    </w:p>
    <w:p>
      <w:pPr>
        <w:pStyle w:val="FirstParagraph"/>
      </w:pPr>
      <w:r>
        <w:t xml:space="preserve">Despite strong performance, critical challenges persist in Colombia Medellín's healthcare market:</w:t>
      </w:r>
    </w:p>
    <w:p>
      <w:pPr>
        <w:numPr>
          <w:ilvl w:val="0"/>
          <w:numId w:val="1002"/>
        </w:numPr>
        <w:pStyle w:val="Compact"/>
      </w:pPr>
      <w:r>
        <w:rPr>
          <w:bCs/>
          <w:b/>
        </w:rPr>
        <w:t xml:space="preserve">Staffing Shortages:</w:t>
      </w:r>
      <w:r>
        <w:t xml:space="preserve"> </w:t>
      </w:r>
      <w:r>
        <w:t xml:space="preserve">37% of GP clinics report physician vacancies due to Colombia's national medical residency crisis. This directly impacts sales capacity—21% of clinics reduced appointment slots in Q3.</w:t>
      </w:r>
    </w:p>
    <w:p>
      <w:pPr>
        <w:numPr>
          <w:ilvl w:val="0"/>
          <w:numId w:val="1002"/>
        </w:numPr>
        <w:pStyle w:val="Compact"/>
      </w:pPr>
      <w:r>
        <w:rPr>
          <w:bCs/>
          <w:b/>
        </w:rPr>
        <w:t xml:space="preserve">Payer Reimbursement Delays:</w:t>
      </w:r>
      <w:r>
        <w:t xml:space="preserve"> </w:t>
      </w:r>
      <w:r>
        <w:t xml:space="preserve">Insurance claims processing averages 45 days (vs industry target: 20 days), creating cash flow pressure for small clinics. We recommend advocating for streamlined SGCS reimbursement protocols to Colombia's Ministry of Health.</w:t>
      </w:r>
    </w:p>
    <w:p>
      <w:pPr>
        <w:numPr>
          <w:ilvl w:val="0"/>
          <w:numId w:val="1002"/>
        </w:numPr>
        <w:pStyle w:val="Compact"/>
      </w:pPr>
      <w:r>
        <w:rPr>
          <w:bCs/>
          <w:b/>
        </w:rPr>
        <w:t xml:space="preserve">Socioeconomic Pressures:</w:t>
      </w:r>
      <w:r>
        <w:t xml:space="preserve"> </w:t>
      </w:r>
      <w:r>
        <w:t xml:space="preserve">Rising fuel costs in Medellín increased patient no-show rates by 11% in low-income communes, directly affecting Doctor General Practitioner sales consistency.</w:t>
      </w:r>
    </w:p>
    <w:bookmarkEnd w:id="25"/>
    <w:bookmarkStart w:id="26" w:name="Xe388dfb8132378af626dee931206500682c4d7d"/>
    <w:p>
      <w:pPr>
        <w:pStyle w:val="Heading2"/>
      </w:pPr>
      <w:r>
        <w:t xml:space="preserve">VII. Future Outlook &amp; Strategic Recommendations</w:t>
      </w:r>
    </w:p>
    <w:p>
      <w:pPr>
        <w:pStyle w:val="FirstParagraph"/>
      </w:pPr>
      <w:r>
        <w:t xml:space="preserve">This Sales Report confirms that the Doctor General Practitioner model is fundamentally aligned with Colombia Medellín's healthcare priorities. To sustain growth:</w:t>
      </w:r>
    </w:p>
    <w:p>
      <w:pPr>
        <w:numPr>
          <w:ilvl w:val="0"/>
          <w:numId w:val="1003"/>
        </w:numPr>
        <w:pStyle w:val="Compact"/>
      </w:pPr>
      <w:r>
        <w:rPr>
          <w:bCs/>
          <w:b/>
        </w:rPr>
        <w:t xml:space="preserve">Expand Community Health Worker Networks:</w:t>
      </w:r>
      <w:r>
        <w:t xml:space="preserve"> </w:t>
      </w:r>
      <w:r>
        <w:t xml:space="preserve">Allocate $500M COP to train 150 additional community health workers in high-need communes (Comuna 13, San Javier) to reduce no-show rates and boost referral sales.</w:t>
      </w:r>
    </w:p>
    <w:p>
      <w:pPr>
        <w:numPr>
          <w:ilvl w:val="0"/>
          <w:numId w:val="1003"/>
        </w:numPr>
        <w:pStyle w:val="Compact"/>
      </w:pPr>
      <w:r>
        <w:rPr>
          <w:bCs/>
          <w:b/>
        </w:rPr>
        <w:t xml:space="preserve">Leverage AI for Appointment Optimization:</w:t>
      </w:r>
      <w:r>
        <w:t xml:space="preserve"> </w:t>
      </w:r>
      <w:r>
        <w:t xml:space="preserve">Implement predictive analytics for patient scheduling using Medellín's municipal health data—projected to increase consultation efficiency by 19% by Q2 2024.</w:t>
      </w:r>
    </w:p>
    <w:p>
      <w:pPr>
        <w:numPr>
          <w:ilvl w:val="0"/>
          <w:numId w:val="1003"/>
        </w:numPr>
        <w:pStyle w:val="Compact"/>
      </w:pPr>
      <w:r>
        <w:rPr>
          <w:bCs/>
          <w:b/>
        </w:rPr>
        <w:t xml:space="preserve">Negotiate Regional Insurance Contracts:</w:t>
      </w:r>
      <w:r>
        <w:t xml:space="preserve"> </w:t>
      </w:r>
      <w:r>
        <w:t xml:space="preserve">Consolidate GP clinic purchasing power through the Medellín Healthcare Consortium to secure better reimbursement terms from EPS providers (e.g., SURA, Colmena).</w:t>
      </w:r>
    </w:p>
    <w:bookmarkEnd w:id="26"/>
    <w:bookmarkStart w:id="27" w:name="viii.-conclusion"/>
    <w:p>
      <w:pPr>
        <w:pStyle w:val="Heading2"/>
      </w:pPr>
      <w:r>
        <w:t xml:space="preserve">VIII. Conclusion</w:t>
      </w:r>
    </w:p>
    <w:p>
      <w:pPr>
        <w:pStyle w:val="FirstParagraph"/>
      </w:pPr>
      <w:r>
        <w:t xml:space="preserve">The Q3 2023 Sales Report unequivocally demonstrates that Doctor General Practitioner services are not merely a clinical necessity but a scalable economic asset for Colombia Medellín. With strategic investment in digital infrastructure, community partnerships, and workforce development, these clinics will remain the engine driving healthcare accessibility across Medellín's diverse neighborhoods. As Colombia advances its national health equity agenda, the success of our Doctor General Practitioner network in Medellín serves as a replicable blueprint for cities nationwide.</w:t>
      </w:r>
    </w:p>
    <w:p>
      <w:pPr>
        <w:pStyle w:val="BodyText"/>
      </w:pPr>
      <w:r>
        <w:rPr>
          <w:bCs/>
          <w:b/>
        </w:rPr>
        <w:t xml:space="preserve">Final Note:</w:t>
      </w:r>
      <w:r>
        <w:t xml:space="preserve"> </w:t>
      </w:r>
      <w:r>
        <w:t xml:space="preserve">This Sales Report underscores that sustainable growth in Colombia's healthcare sector hinges on empowering the Doctor General Practitioner—ensuring they are equipped to serve every citizen of Medellín, regardless of socioeconomic status. The data proves that investing in primary care isn't just ethical; it's the most effective path to long-term community health and economic resilience.</w:t>
      </w:r>
    </w:p>
    <w:p>
      <w:pPr>
        <w:pStyle w:val="BodyText"/>
      </w:pPr>
      <w:r>
        <w:rPr>
          <w:bCs/>
          <w:b/>
        </w:rPr>
        <w:t xml:space="preserve">Prepared By:</w:t>
      </w:r>
      <w:r>
        <w:t xml:space="preserve"> </w:t>
      </w:r>
      <w:r>
        <w:t xml:space="preserve">Healthcare Analytics Department</w:t>
      </w:r>
      <w:r>
        <w:br/>
      </w:r>
      <w:r>
        <w:rPr>
          <w:bCs/>
          <w:b/>
        </w:rPr>
        <w:t xml:space="preserve">Contact:</w:t>
      </w:r>
      <w:r>
        <w:t xml:space="preserve"> </w:t>
      </w:r>
      <w:r>
        <w:t xml:space="preserve">analytics@medellinhealth.gov.co</w:t>
      </w:r>
    </w:p>
    <w:p>
      <w:pPr>
        <w:pStyle w:val="BodyText"/>
      </w:pPr>
      <w:r>
        <w:rPr>
          <w:iCs/>
          <w:i/>
        </w:rPr>
        <w:t xml:space="preserve">This Sales Report complies with Colombia's Law 1751 (2015) on Healthcare Information Transparency and Medellín Municipal Health Code Article 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Medellín General Practitioner Sales Performance Report - Q3 2023</dc:title>
  <dc:creator/>
  <dc:language>en</dc:language>
  <cp:keywords/>
  <dcterms:created xsi:type="dcterms:W3CDTF">2026-07-24T04:51:03Z</dcterms:created>
  <dcterms:modified xsi:type="dcterms:W3CDTF">2026-07-24T04:51:03Z</dcterms:modified>
</cp:coreProperties>
</file>

<file path=docProps/custom.xml><?xml version="1.0" encoding="utf-8"?>
<Properties xmlns="http://schemas.openxmlformats.org/officeDocument/2006/custom-properties" xmlns:vt="http://schemas.openxmlformats.org/officeDocument/2006/docPropsVTypes"/>
</file>