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w:t>
      </w:r>
      <w:r>
        <w:t xml:space="preserve"> </w:t>
      </w:r>
      <w:r>
        <w:t xml:space="preserve">DR</w:t>
      </w:r>
      <w:r>
        <w:t xml:space="preserve"> </w:t>
      </w:r>
      <w:r>
        <w:t xml:space="preserve">Congo</w:t>
      </w:r>
      <w:r>
        <w:t xml:space="preserve"> </w:t>
      </w:r>
      <w:r>
        <w:t xml:space="preserve">Kinshasa</w:t>
      </w:r>
    </w:p>
    <w:bookmarkStart w:id="28" w:name="Xea21b400957ce7e7997324c04e4f2abfd50889d"/>
    <w:p>
      <w:pPr>
        <w:pStyle w:val="Heading1"/>
      </w:pPr>
      <w:r>
        <w:t xml:space="preserve">QUARTERLY SALES REPORT</w:t>
      </w:r>
      <w:r>
        <w:br/>
      </w:r>
      <w:r>
        <w:t xml:space="preserve">DOCTOR GENERAL PRACTITIONER SERVICES</w:t>
      </w:r>
      <w:r>
        <w:br/>
      </w:r>
      <w:r>
        <w:t xml:space="preserve">DR CONGO KINSHASA</w:t>
      </w:r>
    </w:p>
    <w:p>
      <w:pPr>
        <w:pStyle w:val="FirstParagraph"/>
      </w:pPr>
      <w:r>
        <w:t xml:space="preserve">Report Period: Q3 2023 (July 1 - September 30, 2023)</w:t>
      </w:r>
    </w:p>
    <w:bookmarkStart w:id="20" w:name="executive-summary"/>
    <w:p>
      <w:pPr>
        <w:pStyle w:val="Heading2"/>
      </w:pPr>
      <w:r>
        <w:t xml:space="preserve">Executive Summary</w:t>
      </w:r>
    </w:p>
    <w:p>
      <w:pPr>
        <w:pStyle w:val="FirstParagraph"/>
      </w:pPr>
      <w:r>
        <w:t xml:space="preserve">This Sales Report details the performance of Doctor General Practitioner (GP) services across Kinshasa, Democratic Republic of Congo. Despite persistent healthcare infrastructure challenges in DR Congo, our GP network demonstrated remarkable growth with a 24% increase in patient consultations compared to Q2. The Kinshasa market remains critical for sustainable healthcare delivery, and this report confirms our strategic investment in accessible primary care is yielding significant results. Total revenue reached $185,400 USD during the quarter, reflecting strong community adoption of our physician-led services.</w:t>
      </w:r>
    </w:p>
    <w:bookmarkEnd w:id="20"/>
    <w:bookmarkStart w:id="21" w:name="X8f4ac2dd2b0c9bbb09cacfb00ffd2678e72691d"/>
    <w:p>
      <w:pPr>
        <w:pStyle w:val="Heading2"/>
      </w:pPr>
      <w:r>
        <w:t xml:space="preserve">Market Context: DR Congo Kinshasa Healthcare Landscape</w:t>
      </w:r>
    </w:p>
    <w:p>
      <w:pPr>
        <w:pStyle w:val="FirstParagraph"/>
      </w:pPr>
      <w:r>
        <w:t xml:space="preserve">DR Congo Kinshasa faces a severe healthcare deficit with only 0.3 physicians per 10,000 people—the lowest in the region (WHO, 2023). Over 75% of urban residents rely on informal providers due to clinic shortages. Our Doctor General Practitioner model directly addresses this gap by offering affordable, quality primary care in neighborhood clinics across Kinshasa's key districts: Ngaliema, Gombe, and Limete. This quarter's success validates our mission to establish reliable GP services as the backbone of community health in DR Congo.</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Change</w:t>
            </w:r>
          </w:p>
        </w:tc>
      </w:tr>
      <w:tr>
        <w:tc>
          <w:tcPr/>
          <w:p>
            <w:pPr>
              <w:pStyle w:val="Compact"/>
              <w:jc w:val="left"/>
            </w:pPr>
            <w:r>
              <w:t xml:space="preserve">Total Patient Consultations</w:t>
            </w:r>
          </w:p>
        </w:tc>
        <w:tc>
          <w:tcPr/>
          <w:p>
            <w:pPr>
              <w:pStyle w:val="Compact"/>
              <w:jc w:val="left"/>
            </w:pPr>
            <w:r>
              <w:t xml:space="preserve">3,240</w:t>
            </w:r>
          </w:p>
        </w:tc>
        <w:tc>
          <w:tcPr/>
          <w:p>
            <w:pPr>
              <w:pStyle w:val="Compact"/>
              <w:jc w:val="left"/>
            </w:pPr>
            <w:r>
              <w:t xml:space="preserve">2,615</w:t>
            </w:r>
          </w:p>
        </w:tc>
        <w:tc>
          <w:tcPr/>
          <w:p>
            <w:pPr>
              <w:pStyle w:val="Compact"/>
              <w:jc w:val="left"/>
            </w:pPr>
            <w:r>
              <w:t xml:space="preserve">+24%</w:t>
            </w:r>
          </w:p>
        </w:tc>
      </w:tr>
      <w:tr>
        <w:tc>
          <w:tcPr/>
          <w:p>
            <w:pPr>
              <w:pStyle w:val="Compact"/>
              <w:jc w:val="left"/>
            </w:pPr>
            <w:r>
              <w:t xml:space="preserve">Average Revenue per Consultation</w:t>
            </w:r>
          </w:p>
        </w:tc>
        <w:tc>
          <w:tcPr/>
          <w:p>
            <w:pPr>
              <w:pStyle w:val="Compact"/>
              <w:jc w:val="left"/>
            </w:pPr>
            <w:r>
              <w:t xml:space="preserve">$57.20</w:t>
            </w:r>
          </w:p>
        </w:tc>
        <w:tc>
          <w:tcPr/>
          <w:p>
            <w:pPr>
              <w:pStyle w:val="Compact"/>
              <w:jc w:val="left"/>
            </w:pPr>
            <w:r>
              <w:t xml:space="preserve">$54.30</w:t>
            </w:r>
          </w:p>
        </w:tc>
        <w:tc>
          <w:tcPr/>
          <w:p>
            <w:pPr>
              <w:pStyle w:val="Compact"/>
              <w:jc w:val="left"/>
            </w:pPr>
            <w:r>
              <w:t xml:space="preserve">+5.3%</w:t>
            </w:r>
          </w:p>
        </w:tc>
      </w:tr>
      <w:tr>
        <w:tc>
          <w:tcPr/>
          <w:p>
            <w:pPr>
              <w:pStyle w:val="Compact"/>
              <w:jc w:val="left"/>
            </w:pPr>
            <w:r>
              <w:t xml:space="preserve">New Patient Acquisitions</w:t>
            </w:r>
          </w:p>
        </w:tc>
        <w:tc>
          <w:tcPr/>
          <w:p>
            <w:pPr>
              <w:pStyle w:val="Compact"/>
              <w:jc w:val="left"/>
            </w:pPr>
            <w:r>
              <w:t xml:space="preserve">720</w:t>
            </w:r>
          </w:p>
        </w:tc>
        <w:tc>
          <w:tcPr/>
          <w:p>
            <w:pPr>
              <w:pStyle w:val="Compact"/>
              <w:jc w:val="left"/>
            </w:pPr>
            <w:r>
              <w:t xml:space="preserve">510</w:t>
            </w:r>
          </w:p>
        </w:tc>
        <w:tc>
          <w:tcPr/>
          <w:p>
            <w:pPr>
              <w:pStyle w:val="Compact"/>
              <w:jc w:val="left"/>
            </w:pPr>
            <w:r>
              <w:t xml:space="preserve">+41.2%</w:t>
            </w:r>
          </w:p>
        </w:tc>
      </w:tr>
      <w:tr>
        <w:tc>
          <w:tcPr/>
          <w:p>
            <w:pPr>
              <w:pStyle w:val="Compact"/>
              <w:jc w:val="left"/>
            </w:pPr>
            <w:r>
              <w:t xml:space="preserve">Repeat Patient Rate</w:t>
            </w:r>
          </w:p>
        </w:tc>
        <w:tc>
          <w:tcPr/>
          <w:p>
            <w:pPr>
              <w:pStyle w:val="Compact"/>
              <w:jc w:val="left"/>
            </w:pPr>
            <w:r>
              <w:t xml:space="preserve">68%</w:t>
            </w:r>
          </w:p>
        </w:tc>
        <w:tc>
          <w:tcPr/>
          <w:p>
            <w:pPr>
              <w:pStyle w:val="Compact"/>
              <w:jc w:val="left"/>
            </w:pPr>
            <w:r>
              <w:t xml:space="preserve">62%</w:t>
            </w:r>
          </w:p>
        </w:tc>
        <w:tc>
          <w:tcPr/>
          <w:p>
            <w:pPr>
              <w:pStyle w:val="Compact"/>
              <w:jc w:val="left"/>
            </w:pPr>
            <w:r>
              <w:t xml:space="preserve">+6 pts</w:t>
            </w:r>
          </w:p>
        </w:tc>
      </w:tr>
    </w:tbl>
    <w:bookmarkEnd w:id="22"/>
    <w:bookmarkStart w:id="23" w:name="key-growth-drivers-in-kinshasa-market"/>
    <w:p>
      <w:pPr>
        <w:pStyle w:val="Heading2"/>
      </w:pPr>
      <w:r>
        <w:t xml:space="preserve">Key Growth Drivers in Kinshasa Market</w:t>
      </w:r>
    </w:p>
    <w:p>
      <w:pPr>
        <w:pStyle w:val="FirstParagraph"/>
      </w:pPr>
      <w:r>
        <w:rPr>
          <w:bCs/>
          <w:b/>
        </w:rPr>
        <w:t xml:space="preserve">1. Community Trust Building:</w:t>
      </w:r>
      <w:r>
        <w:t xml:space="preserve"> </w:t>
      </w:r>
      <w:r>
        <w:t xml:space="preserve">Our Doctor General Practitioner team implemented "Health Outreach Weeks" across Kinshasa's informal settlements (bidonvilles), offering free screenings. This initiative directly increased new patient sign-ups by 37% in target neighborhoods like Matete and Masina, where healthcare access was previously nonexistent.</w:t>
      </w:r>
    </w:p>
    <w:p>
      <w:pPr>
        <w:pStyle w:val="BodyText"/>
      </w:pPr>
      <w:r>
        <w:rPr>
          <w:bCs/>
          <w:b/>
        </w:rPr>
        <w:t xml:space="preserve">2. Mobile Health Integration:</w:t>
      </w:r>
      <w:r>
        <w:t xml:space="preserve"> </w:t>
      </w:r>
      <w:r>
        <w:t xml:space="preserve">Partnering with local telecom providers (like Vodacom DRC), we launched SMS-based appointment reminders and health education in Lingala. This reduced no-show rates by 31% and increased patient retention—a critical factor for sustainable GP services in Kinshasa's mobile-centric market.</w:t>
      </w:r>
    </w:p>
    <w:p>
      <w:pPr>
        <w:pStyle w:val="BodyText"/>
      </w:pPr>
      <w:r>
        <w:rPr>
          <w:bCs/>
          <w:b/>
        </w:rPr>
        <w:t xml:space="preserve">3. Strategic Pricing Model:</w:t>
      </w:r>
      <w:r>
        <w:t xml:space="preserve"> </w:t>
      </w:r>
      <w:r>
        <w:t xml:space="preserve">We maintained tiered pricing (low-cost consultations at $2 for students, $5 for adults, $10 for families) that aligns with DR Congo Kinshasa's income realities while ensuring service viability. This approach expanded our patient base to include 42% of low-income households in urban zones.</w:t>
      </w:r>
    </w:p>
    <w:bookmarkEnd w:id="23"/>
    <w:bookmarkStart w:id="24" w:name="X64a1b79949bb7595686dc19ab97539aa5547a7b"/>
    <w:p>
      <w:pPr>
        <w:pStyle w:val="Heading2"/>
      </w:pPr>
      <w:r>
        <w:t xml:space="preserve">Challenges Faced in DR Congo Kinshasa Operations</w:t>
      </w:r>
    </w:p>
    <w:p>
      <w:pPr>
        <w:pStyle w:val="FirstParagraph"/>
      </w:pPr>
      <w:r>
        <w:t xml:space="preserve">Despite strong sales growth, we encountered significant operational hurdles unique to the DR Congo context:</w:t>
      </w:r>
    </w:p>
    <w:p>
      <w:pPr>
        <w:numPr>
          <w:ilvl w:val="0"/>
          <w:numId w:val="1001"/>
        </w:numPr>
        <w:pStyle w:val="Compact"/>
      </w:pPr>
      <w:r>
        <w:rPr>
          <w:bCs/>
          <w:b/>
        </w:rPr>
        <w:t xml:space="preserve">Supply Chain Disruptions:</w:t>
      </w:r>
      <w:r>
        <w:t xml:space="preserve"> </w:t>
      </w:r>
      <w:r>
        <w:t xml:space="preserve">Critical medical supplies (e.g., malaria rapid tests) faced 3-4 week delays due to port congestion at Matadi, impacting consultation efficiency in Q3.</w:t>
      </w:r>
    </w:p>
    <w:p>
      <w:pPr>
        <w:numPr>
          <w:ilvl w:val="0"/>
          <w:numId w:val="1001"/>
        </w:numPr>
        <w:pStyle w:val="Compact"/>
      </w:pPr>
      <w:r>
        <w:rPr>
          <w:bCs/>
          <w:b/>
        </w:rPr>
        <w:t xml:space="preserve">Currency Volatility:</w:t>
      </w:r>
      <w:r>
        <w:t xml:space="preserve"> </w:t>
      </w:r>
      <w:r>
        <w:t xml:space="preserve">The USD-to-CDF exchange rate fluctuation (+18%) increased operational costs, requiring urgent price adjustments that temporarily affected patient volume in early July.</w:t>
      </w:r>
    </w:p>
    <w:p>
      <w:pPr>
        <w:numPr>
          <w:ilvl w:val="0"/>
          <w:numId w:val="1001"/>
        </w:numPr>
        <w:pStyle w:val="Compact"/>
      </w:pPr>
      <w:r>
        <w:rPr>
          <w:bCs/>
          <w:b/>
        </w:rPr>
        <w:t xml:space="preserve">Infrastructure Limitations:</w:t>
      </w:r>
      <w:r>
        <w:t xml:space="preserve"> </w:t>
      </w:r>
      <w:r>
        <w:t xml:space="preserve">Unreliable electricity (5-6 power outages/day) disrupted digital record systems at 3 clinics, necessitating backup generators costing $2,800/month.</w:t>
      </w:r>
    </w:p>
    <w:bookmarkEnd w:id="24"/>
    <w:bookmarkStart w:id="25" w:name="patient-satisfaction-impact-metrics"/>
    <w:p>
      <w:pPr>
        <w:pStyle w:val="Heading2"/>
      </w:pPr>
      <w:r>
        <w:t xml:space="preserve">Patient Satisfaction &amp; Impact Metrics</w:t>
      </w:r>
    </w:p>
    <w:p>
      <w:pPr>
        <w:pStyle w:val="FirstParagraph"/>
      </w:pPr>
      <w:r>
        <w:t xml:space="preserve">Our Q3 patient survey (n=850) revealed exceptional satisfaction with Doctor General Practitioner services:</w:t>
      </w:r>
    </w:p>
    <w:p>
      <w:pPr>
        <w:numPr>
          <w:ilvl w:val="0"/>
          <w:numId w:val="1002"/>
        </w:numPr>
        <w:pStyle w:val="Compact"/>
      </w:pPr>
      <w:r>
        <w:t xml:space="preserve">94% rated GP doctors "trustworthy" (vs. 68% for traditional healers in Kinshasa)</w:t>
      </w:r>
    </w:p>
    <w:p>
      <w:pPr>
        <w:numPr>
          <w:ilvl w:val="0"/>
          <w:numId w:val="1002"/>
        </w:numPr>
        <w:pStyle w:val="Compact"/>
      </w:pPr>
      <w:r>
        <w:t xml:space="preserve">87% reported reduced travel time to healthcare compared to hospital referrals</w:t>
      </w:r>
    </w:p>
    <w:p>
      <w:pPr>
        <w:numPr>
          <w:ilvl w:val="0"/>
          <w:numId w:val="1002"/>
        </w:numPr>
        <w:pStyle w:val="Compact"/>
      </w:pPr>
      <w:r>
        <w:t xml:space="preserve">76% of mothers indicated their children received timely treatment for common illnesses</w:t>
      </w:r>
    </w:p>
    <w:p>
      <w:pPr>
        <w:pStyle w:val="FirstParagraph"/>
      </w:pPr>
      <w:r>
        <w:t xml:space="preserve">These results underscore how our GP model is transforming primary care access in DR Congo Kinshasa—moving beyond transactional consultations toward community health outcomes.</w:t>
      </w:r>
    </w:p>
    <w:bookmarkEnd w:id="25"/>
    <w:bookmarkStart w:id="26" w:name="strategic-recommendations-for-q4"/>
    <w:p>
      <w:pPr>
        <w:pStyle w:val="Heading2"/>
      </w:pPr>
      <w:r>
        <w:t xml:space="preserve">Strategic Recommendations for Q4</w:t>
      </w:r>
    </w:p>
    <w:p>
      <w:pPr>
        <w:numPr>
          <w:ilvl w:val="0"/>
          <w:numId w:val="1003"/>
        </w:numPr>
        <w:pStyle w:val="Compact"/>
      </w:pPr>
      <w:r>
        <w:rPr>
          <w:bCs/>
          <w:b/>
        </w:rPr>
        <w:t xml:space="preserve">Local Supply Partnerships:</w:t>
      </w:r>
      <w:r>
        <w:t xml:space="preserve"> </w:t>
      </w:r>
      <w:r>
        <w:t xml:space="preserve">Establish direct procurement agreements with Kinshasa-based pharmaceutical distributors to bypass port delays.</w:t>
      </w:r>
    </w:p>
    <w:p>
      <w:pPr>
        <w:numPr>
          <w:ilvl w:val="0"/>
          <w:numId w:val="1003"/>
        </w:numPr>
        <w:pStyle w:val="Compact"/>
      </w:pPr>
      <w:r>
        <w:rPr>
          <w:bCs/>
          <w:b/>
        </w:rPr>
        <w:t xml:space="preserve">Telemedicine Expansion:</w:t>
      </w:r>
      <w:r>
        <w:t xml:space="preserve"> </w:t>
      </w:r>
      <w:r>
        <w:t xml:space="preserve">Introduce WhatsApp-based GP consultations for rural patients in DR Congo's peri-urban areas, targeting 20% of new users.</w:t>
      </w:r>
    </w:p>
    <w:p>
      <w:pPr>
        <w:numPr>
          <w:ilvl w:val="0"/>
          <w:numId w:val="1003"/>
        </w:numPr>
        <w:pStyle w:val="Compact"/>
      </w:pPr>
      <w:r>
        <w:rPr>
          <w:bCs/>
          <w:b/>
        </w:rPr>
        <w:t xml:space="preserve">Government Collaboration:</w:t>
      </w:r>
      <w:r>
        <w:t xml:space="preserve"> </w:t>
      </w:r>
      <w:r>
        <w:t xml:space="preserve">Formalize partnership with Kinshasa’s Ministry of Health to integrate our GP network into the national primary care framework.</w:t>
      </w:r>
    </w:p>
    <w:bookmarkEnd w:id="26"/>
    <w:bookmarkStart w:id="27" w:name="conclusion"/>
    <w:p>
      <w:pPr>
        <w:pStyle w:val="Heading2"/>
      </w:pPr>
      <w:r>
        <w:t xml:space="preserve">Conclusion</w:t>
      </w:r>
    </w:p>
    <w:p>
      <w:pPr>
        <w:pStyle w:val="FirstParagraph"/>
      </w:pPr>
      <w:r>
        <w:t xml:space="preserve">This Sales Report demonstrates that Doctor General Practitioner services are not just viable but essential for healthcare sustainability in DR Congo Kinshasa. The 24% growth in consultations and strong community adoption confirm that our model effectively addresses the acute primary care deficit. While infrastructure challenges persist, the financial resilience (revenue up 19% YoY) and high patient retention rates position us to scale operations significantly in Q4.</w:t>
      </w:r>
    </w:p>
    <w:p>
      <w:pPr>
        <w:pStyle w:val="BodyText"/>
      </w:pPr>
      <w:r>
        <w:t xml:space="preserve">As DR Congo Kinshasa continues its urbanization trajectory, our Doctor General Practitioner network will remain pivotal in creating a healthcare ecosystem where quality care is accessible—not just to the privileged few, but to every family navigating the complexities of daily life in Africa’s largest Francophone city. The success of this quarter validates our commitment: when community needs meet professional medical expertise, sustainable health outcomes become reality.</w:t>
      </w:r>
    </w:p>
    <w:p>
      <w:pPr>
        <w:pStyle w:val="BodyText"/>
      </w:pPr>
      <w:r>
        <w:t xml:space="preserve">Prepared by:</w:t>
      </w:r>
    </w:p>
    <w:p>
      <w:pPr>
        <w:pStyle w:val="BodyText"/>
      </w:pPr>
      <w:r>
        <w:t xml:space="preserve">Health Access Initiative Team</w:t>
      </w:r>
      <w:r>
        <w:br/>
      </w:r>
      <w:r>
        <w:t xml:space="preserve">DR Congo Kinshasa Operations</w:t>
      </w:r>
    </w:p>
    <w:p>
      <w:pPr>
        <w:pStyle w:val="BodyText"/>
      </w:pPr>
      <w:r>
        <w:t xml:space="preserve">This document constitutes internal sales reporting for Health Access Initiative, a registered NGO operating in DR Congo under Ministry of Health license #DRC-2023-GP-045.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Doctor General Practitioner Services - DR Congo Kinshasa</dc:title>
  <dc:creator/>
  <dc:language>en</dc:language>
  <cp:keywords/>
  <dcterms:created xsi:type="dcterms:W3CDTF">2025-12-11T00:51:51Z</dcterms:created>
  <dcterms:modified xsi:type="dcterms:W3CDTF">2025-12-11T00:51:51Z</dcterms:modified>
</cp:coreProperties>
</file>

<file path=docProps/custom.xml><?xml version="1.0" encoding="utf-8"?>
<Properties xmlns="http://schemas.openxmlformats.org/officeDocument/2006/custom-properties" xmlns:vt="http://schemas.openxmlformats.org/officeDocument/2006/docPropsVTypes"/>
</file>