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Annual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Services</w:t>
      </w:r>
      <w:r>
        <w:t xml:space="preserve"> </w:t>
      </w:r>
      <w:r>
        <w:t xml:space="preserve">-</w:t>
      </w:r>
      <w:r>
        <w:t xml:space="preserve"> </w:t>
      </w:r>
      <w:r>
        <w:t xml:space="preserve">Alexandria,</w:t>
      </w:r>
      <w:r>
        <w:t xml:space="preserve"> </w:t>
      </w:r>
      <w:r>
        <w:t xml:space="preserve">Egypt</w:t>
      </w:r>
    </w:p>
    <w:bookmarkStart w:id="30" w:name="X7d540f5100fc91769140931474a24269e2c27ed"/>
    <w:p>
      <w:pPr>
        <w:pStyle w:val="Heading1"/>
      </w:pPr>
      <w:r>
        <w:t xml:space="preserve">Annual Sales Performance Report: Doctor General Practitioner Services in Alexandria, Egypt</w:t>
      </w:r>
    </w:p>
    <w:bookmarkStart w:id="20" w:name="X661e814023a505b30a425d25515e6536a395093"/>
    <w:p>
      <w:pPr>
        <w:pStyle w:val="Heading2"/>
      </w:pPr>
      <w:r>
        <w:t xml:space="preserve">Prepared For: Healthcare Management Team, Alexandria Operations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 |</w:t>
      </w:r>
      <w:r>
        <w:t xml:space="preserve"> </w:t>
      </w:r>
      <w:r>
        <w:rPr>
          <w:bCs/>
          <w:b/>
        </w:rPr>
        <w:t xml:space="preserve">Report Period:</w:t>
      </w:r>
      <w:r>
        <w:t xml:space="preserve"> </w:t>
      </w:r>
      <w:r>
        <w:t xml:space="preserve">January 1 - December 31, 2023</w:t>
      </w:r>
    </w:p>
    <w:bookmarkEnd w:id="20"/>
    <w:bookmarkStart w:id="21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report details the comprehensive sales performance of</w:t>
      </w:r>
      <w:r>
        <w:t xml:space="preserve"> </w:t>
      </w:r>
      <w:r>
        <w:rPr>
          <w:iCs/>
          <w:i/>
        </w:rPr>
        <w:t xml:space="preserve">Doctor General Practitioner (GP)</w:t>
      </w:r>
      <w:r>
        <w:t xml:space="preserve"> </w:t>
      </w:r>
      <w:r>
        <w:t xml:space="preserve">services across our Alexandria healthcare network during the fiscal year 2023. Alexandria, Egypt’s second-largest city with a population exceeding 5 million residents, presents a dynamic market for primary healthcare delivery. Our strategic focus on expanding</w:t>
      </w:r>
      <w:r>
        <w:t xml:space="preserve"> </w:t>
      </w:r>
      <w:r>
        <w:rPr>
          <w:bCs/>
          <w:b/>
        </w:rPr>
        <w:t xml:space="preserve">Doctor General Practitioner</w:t>
      </w:r>
      <w:r>
        <w:t xml:space="preserve"> </w:t>
      </w:r>
      <w:r>
        <w:t xml:space="preserve">accessibility has yielded significant growth, with an overall sales increase of 18.7% year-over-year (YoY) despite regional economic pressures. This success underscores the critical demand for accessible, high-quality primary care in Alexandria’s urban and suburban communities.</w:t>
      </w:r>
    </w:p>
    <w:bookmarkEnd w:id="21"/>
    <w:bookmarkStart w:id="22" w:name="ii.-market-context-egypt-alexandria"/>
    <w:p>
      <w:pPr>
        <w:pStyle w:val="Heading2"/>
      </w:pPr>
      <w:r>
        <w:t xml:space="preserve">II. Market Context: Egypt Alexandria</w:t>
      </w:r>
    </w:p>
    <w:p>
      <w:pPr>
        <w:pStyle w:val="FirstParagraph"/>
      </w:pPr>
      <w:r>
        <w:t xml:space="preserve">Alexandria faces unique healthcare challenges common across Egypt but amplified by its dense population and aging infrastructure. The city has a 35% higher rate of non-communicable diseases (NCDs) like diabetes and hypertension compared to the national average, directly fueling demand for consistent</w:t>
      </w:r>
      <w:r>
        <w:t xml:space="preserve"> </w:t>
      </w:r>
      <w:r>
        <w:rPr>
          <w:bCs/>
          <w:b/>
        </w:rPr>
        <w:t xml:space="preserve">Doctor General Practitioner</w:t>
      </w:r>
      <w:r>
        <w:t xml:space="preserve"> </w:t>
      </w:r>
      <w:r>
        <w:t xml:space="preserve">engagement. Additionally, Alexandria’s healthcare sector is highly competitive, with over 120 private clinics offering GP services within the city limits. However, our localized approach—prioritizing neighborhood-based clinics in areas like Agami, Ramleh, and El Hamam—and integration with Alexandria’s public health initiatives (e.g., Ministry of Health Primary Care Units) have positioned us as a preferred choice for 42% of surveyed patients seeking routine consultations.</w:t>
      </w:r>
    </w:p>
    <w:bookmarkEnd w:id="22"/>
    <w:bookmarkStart w:id="23" w:name="iii.-sales-performance-highlights"/>
    <w:p>
      <w:pPr>
        <w:pStyle w:val="Heading2"/>
      </w:pPr>
      <w:r>
        <w:t xml:space="preserve">III. Sales Performance Highlights</w:t>
      </w:r>
    </w:p>
    <w:p>
      <w:pPr>
        <w:pStyle w:val="FirstParagraph"/>
      </w:pPr>
      <w:r>
        <w:t xml:space="preserve">Key Metric</w:t>
      </w:r>
    </w:p>
    <w:p>
      <w:pPr>
        <w:pStyle w:val="BodyText"/>
      </w:pPr>
      <w:r>
        <w:t xml:space="preserve">Q1 2023</w:t>
      </w:r>
    </w:p>
    <w:p>
      <w:pPr>
        <w:pStyle w:val="BodyText"/>
      </w:pPr>
      <w:r>
        <w:t xml:space="preserve">Q4 2023</w:t>
      </w:r>
    </w:p>
    <w:p>
      <w:pPr>
        <w:pStyle w:val="BodyText"/>
      </w:pPr>
      <w:r>
        <w:t xml:space="preserve">YoY Change</w:t>
      </w:r>
    </w:p>
    <w:p>
      <w:pPr>
        <w:pStyle w:val="BodyText"/>
      </w:pPr>
      <w:r>
        <w:t xml:space="preserve">Total Doctor General Practitioner Consultations (Alexandria)</w:t>
      </w:r>
    </w:p>
    <w:p>
      <w:pPr>
        <w:pStyle w:val="BodyText"/>
      </w:pPr>
      <w:r>
        <w:t xml:space="preserve">14,850</w:t>
      </w:r>
    </w:p>
    <w:p>
      <w:pPr>
        <w:pStyle w:val="BodyText"/>
      </w:pPr>
      <w:r>
        <w:t xml:space="preserve">17,620</w:t>
      </w:r>
    </w:p>
    <w:p>
      <w:pPr>
        <w:pStyle w:val="BodyText"/>
      </w:pPr>
      <w:r>
        <w:t xml:space="preserve">+25.4%</w:t>
      </w:r>
    </w:p>
    <w:p>
      <w:pPr>
        <w:pStyle w:val="BodyText"/>
      </w:pPr>
      <w:r>
        <w:t xml:space="preserve">Average Revenue Per Consultation (EGP)</w:t>
      </w:r>
    </w:p>
    <w:p>
      <w:pPr>
        <w:pStyle w:val="BodyText"/>
      </w:pPr>
      <w:r>
        <w:t xml:space="preserve">285</w:t>
      </w:r>
    </w:p>
    <w:p>
      <w:pPr>
        <w:pStyle w:val="BodyText"/>
      </w:pPr>
      <w:r>
        <w:t xml:space="preserve">310</w:t>
      </w:r>
    </w:p>
    <w:p>
      <w:pPr>
        <w:pStyle w:val="BodyText"/>
      </w:pPr>
      <w:r>
        <w:t xml:space="preserve">+8.8%</w:t>
      </w:r>
    </w:p>
    <w:p>
      <w:pPr>
        <w:pStyle w:val="BodyText"/>
      </w:pPr>
      <w:r>
        <w:t xml:space="preserve">Note: EGP = Egyptian Pounds; All figures exclude government-funded services</w:t>
      </w:r>
    </w:p>
    <w:p>
      <w:pPr>
        <w:pStyle w:val="BodyText"/>
      </w:pPr>
      <w:r>
        <w:t xml:space="preserve">Key drivers of growth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Seasonal Demand Management:</w:t>
      </w:r>
      <w:r>
        <w:t xml:space="preserve"> </w:t>
      </w:r>
      <w:r>
        <w:t xml:space="preserve">Strategic expansion of weekend appointments during Ramadan (2023) captured 35% higher footfall compared to 2022.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Premium Service Bundles:</w:t>
      </w:r>
      <w:r>
        <w:t xml:space="preserve"> </w:t>
      </w:r>
      <w:r>
        <w:t xml:space="preserve">Introduction of "Alexandria Family Health Packages" (including annual check-ups and chronic disease management) increased average transaction value by 14.6%.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Adoption:</w:t>
      </w:r>
      <w:r>
        <w:t xml:space="preserve"> </w:t>
      </w:r>
      <w:r>
        <w:t xml:space="preserve">Mobile app bookings surged by 67%, particularly among Alexandria’s young professional demographic (ages 25-45), reducing no-show rates by 22%.</w:t>
      </w:r>
    </w:p>
    <w:bookmarkEnd w:id="23"/>
    <w:bookmarkStart w:id="24" w:name="X3264f8a980c9582f6b9be6d95e3f3fd1192f309"/>
    <w:p>
      <w:pPr>
        <w:pStyle w:val="Heading2"/>
      </w:pPr>
      <w:r>
        <w:t xml:space="preserve">IV. Geographic Sales Breakdown: Egypt Alexandria</w:t>
      </w:r>
    </w:p>
    <w:p>
      <w:pPr>
        <w:pStyle w:val="FirstParagraph"/>
      </w:pPr>
      <w:r>
        <w:t xml:space="preserve">Sales performance varied significantly across Alexandria’s districts, reflecting socioeconomic diversity: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Eastern Districts (e.g., Agami, El Hamam):</w:t>
      </w:r>
      <w:r>
        <w:t xml:space="preserve"> </w:t>
      </w:r>
      <w:r>
        <w:t xml:space="preserve">Highest growth (+31%) due to new clinics targeting working-class families and affordable GP packages.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Central Alexandria (e.g., Montaza, Sidi Gaber):</w:t>
      </w:r>
      <w:r>
        <w:t xml:space="preserve"> </w:t>
      </w:r>
      <w:r>
        <w:t xml:space="preserve">Steady growth (+18%) driven by premium insurance partnerships with local businesses like the Alexandria International Airport Authority.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Western Suburbs (e.g., Borg El Arab):</w:t>
      </w:r>
      <w:r>
        <w:t xml:space="preserve"> </w:t>
      </w:r>
      <w:r>
        <w:t xml:space="preserve">Strongest YoY increase (+39%) as our mobile GP unit service expanded to cover underserved communities, aligning with the Ministry of Health’s 2023 rural outreach initiative.</w:t>
      </w:r>
    </w:p>
    <w:bookmarkEnd w:id="24"/>
    <w:bookmarkStart w:id="25" w:name="X13b9d24fbffc7b835e398d4e1553bdc6020c196"/>
    <w:p>
      <w:pPr>
        <w:pStyle w:val="Heading2"/>
      </w:pPr>
      <w:r>
        <w:t xml:space="preserve">V. Competitive Analysis: Doctor General Practitioner Market in Alexandria</w:t>
      </w:r>
    </w:p>
    <w:p>
      <w:pPr>
        <w:pStyle w:val="FirstParagraph"/>
      </w:pPr>
      <w:r>
        <w:t xml:space="preserve">Alexandria’s GP market is fragmented, but key competitors include: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Al-Ahly Medical Center:</w:t>
      </w:r>
      <w:r>
        <w:t xml:space="preserve"> </w:t>
      </w:r>
      <w:r>
        <w:t xml:space="preserve">Dominates luxury segment (avg. consultation: EGP 450) with limited neighborhood presence.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Tanta Hospital Clinics:</w:t>
      </w:r>
      <w:r>
        <w:t xml:space="preserve"> </w:t>
      </w:r>
      <w:r>
        <w:t xml:space="preserve">Strong public-private partnerships but weaker digital infrastructure, leading to 28% lower patient retention.</w:t>
      </w:r>
    </w:p>
    <w:p>
      <w:pPr>
        <w:pStyle w:val="FirstParagraph"/>
      </w:pPr>
      <w:r>
        <w:rPr>
          <w:bCs/>
          <w:b/>
        </w:rPr>
        <w:t xml:space="preserve">Our Competitive Edge in Egypt Alexandria:</w:t>
      </w:r>
      <w:r>
        <w:t xml:space="preserve"> </w:t>
      </w:r>
      <w:r>
        <w:t xml:space="preserve">Unlike competitors focused on single-specialty clinics, our integrated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 </w:t>
      </w:r>
      <w:r>
        <w:t xml:space="preserve">model provides seamless referrals to specialists (e.g., cardiology at Al-Azhar Hospital) and chronic disease management, increasing patient lifetime value by 27%. Patient satisfaction scores (4.8/5) consistently outpace the Alexandria market average of 4.1.</w:t>
      </w:r>
    </w:p>
    <w:bookmarkEnd w:id="25"/>
    <w:bookmarkStart w:id="26" w:name="vi.-challenges-strategic-adjustments"/>
    <w:p>
      <w:pPr>
        <w:pStyle w:val="Heading2"/>
      </w:pPr>
      <w:r>
        <w:t xml:space="preserve">VI. Challenges &amp; Strategic Adjustments</w:t>
      </w:r>
    </w:p>
    <w:p>
      <w:pPr>
        <w:pStyle w:val="FirstParagraph"/>
      </w:pPr>
      <w:r>
        <w:t xml:space="preserve">Despite growth, we identified critical challenges unique to Egypt Alexandria: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Currency Volatility:</w:t>
      </w:r>
      <w:r>
        <w:t xml:space="preserve"> </w:t>
      </w:r>
      <w:r>
        <w:t xml:space="preserve">EGP devaluation impacted supply costs (e.g., diagnostic kits). Mitigated via fixed-price insurance contracts and bulk purchasing from local Egyptian suppliers.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New Ministry of Health requirements for digital patient records. Solved by implementing Egypt-specific health IT solutions compliant with the National e-Health Strategy 2023.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Staff Retention:</w:t>
      </w:r>
      <w:r>
        <w:t xml:space="preserve"> </w:t>
      </w:r>
      <w:r>
        <w:t xml:space="preserve">High burnout among GPs due to patient volume. Addressed through competitive salary structures (15% above market) and rotating specialist mentorship programs with Alexandria University’s Faculty of Medicine.</w:t>
      </w:r>
    </w:p>
    <w:bookmarkEnd w:id="26"/>
    <w:bookmarkStart w:id="27" w:name="vii.-future-outlook-recommendations"/>
    <w:p>
      <w:pPr>
        <w:pStyle w:val="Heading2"/>
      </w:pPr>
      <w:r>
        <w:t xml:space="preserve">VII. Future Outlook &amp; Recommendations</w:t>
      </w:r>
    </w:p>
    <w:p>
      <w:pPr>
        <w:pStyle w:val="FirstParagraph"/>
      </w:pPr>
      <w:r>
        <w:t xml:space="preserve">For 2024, we project a minimum 20% sales growth in the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 </w:t>
      </w:r>
      <w:r>
        <w:t xml:space="preserve">segment across Egypt Alexandria based on: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Expansion to New Neighborhoods:</w:t>
      </w:r>
      <w:r>
        <w:t xml:space="preserve"> </w:t>
      </w:r>
      <w:r>
        <w:t xml:space="preserve">Launching clinics in underserved areas of El Montaza and Kom El Shoqafa, targeting 12,000 new patients by Q3 2024.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Telehealth Integration:</w:t>
      </w:r>
      <w:r>
        <w:t xml:space="preserve"> </w:t>
      </w:r>
      <w:r>
        <w:t xml:space="preserve">Partnering with Vodafone Egypt for subsidized video consultations to reach remote Alexandria communities (e.g., Al-Rasheed district).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Government Collaboration:</w:t>
      </w:r>
      <w:r>
        <w:t xml:space="preserve"> </w:t>
      </w:r>
      <w:r>
        <w:t xml:space="preserve">Pursuing a pilot agreement with Alexandria Governorate to provide subsidized GP services for low-income families under the "Healthy Egypt" initiative.</w:t>
      </w:r>
    </w:p>
    <w:bookmarkEnd w:id="27"/>
    <w:bookmarkStart w:id="28" w:name="viii.-conclusion"/>
    <w:p>
      <w:pPr>
        <w:pStyle w:val="Heading2"/>
      </w:pPr>
      <w:r>
        <w:t xml:space="preserve">VIII. Conclusion</w:t>
      </w:r>
    </w:p>
    <w:p>
      <w:pPr>
        <w:pStyle w:val="FirstParagraph"/>
      </w:pPr>
      <w:r>
        <w:t xml:space="preserve">The 2023 sales performance of our</w:t>
      </w:r>
      <w:r>
        <w:t xml:space="preserve"> </w:t>
      </w:r>
      <w:r>
        <w:rPr>
          <w:bCs/>
          <w:b/>
        </w:rPr>
        <w:t xml:space="preserve">Doctor General Practitioner</w:t>
      </w:r>
      <w:r>
        <w:t xml:space="preserve"> </w:t>
      </w:r>
      <w:r>
        <w:t xml:space="preserve">services in Alexandria, Egypt, confirms a robust market demand for accessible primary care in this critical urban center. By aligning with Alexandria’s unique demographic needs—addressing NCDs through neighborhood-based clinics and leveraging technology—we have not only met but exceeded sales targets. Our focus on cultural relevance (e.g., offering Arabic-language health literacy materials) and competitive differentiation through integrated care sets a strong precedent for sustainable growth in Egypt’s evolving healthcare landscape. Continued investment in</w:t>
      </w:r>
      <w:r>
        <w:t xml:space="preserve"> </w:t>
      </w:r>
      <w:r>
        <w:rPr>
          <w:iCs/>
          <w:i/>
        </w:rPr>
        <w:t xml:space="preserve">Doctor General Practitioner</w:t>
      </w:r>
      <w:r>
        <w:t xml:space="preserve"> </w:t>
      </w:r>
      <w:r>
        <w:t xml:space="preserve">accessibility will remain central to our mission of improving Alexandria’s public health outcomes while driving business success.</w:t>
      </w:r>
    </w:p>
    <w:bookmarkEnd w:id="28"/>
    <w:bookmarkStart w:id="29" w:name="Xab87e2c15a108efac99975934c65faa77be876c"/>
    <w:p>
      <w:pPr>
        <w:pStyle w:val="Heading2"/>
      </w:pPr>
      <w:r>
        <w:t xml:space="preserve">Appendix: Key Metrics by District (Alexandria)</w:t>
      </w:r>
    </w:p>
    <w:p>
      <w:pPr>
        <w:pStyle w:val="FirstParagraph"/>
      </w:pPr>
      <w:r>
        <w:t xml:space="preserve">District</w:t>
      </w:r>
    </w:p>
    <w:p>
      <w:pPr>
        <w:pStyle w:val="BodyText"/>
      </w:pPr>
      <w:r>
        <w:t xml:space="preserve">Consultations (2023)</w:t>
      </w:r>
    </w:p>
    <w:p>
      <w:pPr>
        <w:pStyle w:val="BodyText"/>
      </w:pPr>
      <w:r>
        <w:t xml:space="preserve">Growth vs 2022</w:t>
      </w:r>
    </w:p>
    <w:p>
      <w:pPr>
        <w:pStyle w:val="BodyText"/>
      </w:pPr>
      <w:r>
        <w:t xml:space="preserve">Key Strategy</w:t>
      </w:r>
    </w:p>
    <w:p>
      <w:pPr>
        <w:pStyle w:val="BodyText"/>
      </w:pPr>
      <w:r>
        <w:t xml:space="preserve">Agami</w:t>
      </w:r>
    </w:p>
    <w:p>
      <w:pPr>
        <w:pStyle w:val="BodyText"/>
      </w:pPr>
      <w:r>
        <w:t xml:space="preserve">4,150</w:t>
      </w:r>
    </w:p>
    <w:p>
      <w:pPr>
        <w:pStyle w:val="BodyText"/>
      </w:pPr>
      <w:r>
        <w:t xml:space="preserve">+37%</w:t>
      </w:r>
    </w:p>
    <w:p>
      <w:pPr>
        <w:pStyle w:val="BodyText"/>
      </w:pPr>
      <w:r>
        <w:t xml:space="preserve">Neighborhood Health Fair Partnerships</w:t>
      </w:r>
    </w:p>
    <w:p>
      <w:pPr>
        <w:pStyle w:val="BodyText"/>
      </w:pPr>
      <w:r>
        <w:t xml:space="preserve">Sidi Gaber</w:t>
      </w:r>
    </w:p>
    <w:p>
      <w:pPr>
        <w:pStyle w:val="BodyText"/>
      </w:pPr>
      <w:r>
        <w:t xml:space="preserve">3,920</w:t>
      </w:r>
    </w:p>
    <w:p>
      <w:pPr>
        <w:pStyle w:val="BodyText"/>
      </w:pPr>
      <w:r>
        <w:t xml:space="preserve">+18%</w:t>
      </w:r>
    </w:p>
    <w:p>
      <w:pPr>
        <w:pStyle w:val="BodyText"/>
      </w:pPr>
      <w:r>
        <w:br/>
      </w:r>
      <w:r>
        <w:t xml:space="preserve">(Insurance Contract with Alexandria Ports Authority)</w:t>
      </w:r>
    </w:p>
    <w:p>
      <w:pPr>
        <w:pStyle w:val="BodyText"/>
      </w:pPr>
      <w:r>
        <w:t xml:space="preserve">Borg El Arab</w:t>
      </w:r>
    </w:p>
    <w:p>
      <w:pPr>
        <w:pStyle w:val="BodyText"/>
      </w:pPr>
      <w:r>
        <w:t xml:space="preserve">2,785</w:t>
      </w:r>
    </w:p>
    <w:p>
      <w:pPr>
        <w:pStyle w:val="BodyText"/>
      </w:pPr>
      <w:r>
        <w:t xml:space="preserve">+41%</w:t>
      </w:r>
    </w:p>
    <w:p>
      <w:pPr>
        <w:pStyle w:val="BodyText"/>
      </w:pPr>
      <w:r>
        <w:br/>
      </w:r>
      <w:r>
        <w:t xml:space="preserve">(Mobile GP Unit Expansion)</w:t>
      </w:r>
    </w:p>
    <w:p>
      <w:pPr>
        <w:pStyle w:val="BodyText"/>
      </w:pPr>
      <w:r>
        <w:t xml:space="preserve">Total Alexandria</w:t>
      </w:r>
    </w:p>
    <w:p>
      <w:pPr>
        <w:pStyle w:val="BodyText"/>
      </w:pPr>
      <w:r>
        <w:t xml:space="preserve">17,620</w:t>
      </w:r>
    </w:p>
    <w:p>
      <w:pPr>
        <w:pStyle w:val="BodyText"/>
      </w:pPr>
      <w:r>
        <w:t xml:space="preserve">+25.4%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Sales Report: Doctor General Practitioner Services - Alexandria, Egypt</dc:title>
  <dc:creator/>
  <dc:language>en</dc:language>
  <cp:keywords/>
  <dcterms:created xsi:type="dcterms:W3CDTF">2025-12-10T11:21:17Z</dcterms:created>
  <dcterms:modified xsi:type="dcterms:W3CDTF">2025-12-10T11:21:17Z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