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Egypt</w:t>
      </w:r>
      <w:r>
        <w:t xml:space="preserve"> </w:t>
      </w:r>
      <w:r>
        <w:t xml:space="preserve">Cairo</w:t>
      </w:r>
    </w:p>
    <w:bookmarkStart w:id="26" w:name="Xe4a9a45e9338bb42499dee743710534b5b3d7c8"/>
    <w:p>
      <w:pPr>
        <w:pStyle w:val="Heading1"/>
      </w:pPr>
      <w:r>
        <w:t xml:space="preserve">Q3 2023 Sales Performance Report: Doctor General Practitioner Service Expansion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Regional Healthcare Division</w:t>
      </w:r>
      <w:r>
        <w:br/>
      </w:r>
      <w:r>
        <w:rPr>
          <w:bCs/>
          <w:b/>
        </w:rPr>
        <w:t xml:space="preserve">Prepared By:</w:t>
      </w:r>
      <w:r>
        <w:t xml:space="preserve"> </w:t>
      </w:r>
      <w:r>
        <w:t xml:space="preserve">Cairo Sales &amp; Market Development Department</w:t>
      </w:r>
    </w:p>
    <w:bookmarkStart w:id="20" w:name="i.-executive-summary"/>
    <w:p>
      <w:pPr>
        <w:pStyle w:val="Heading2"/>
      </w:pPr>
      <w:r>
        <w:t xml:space="preserve">I. Executive Summary</w:t>
      </w:r>
    </w:p>
    <w:p>
      <w:pPr>
        <w:pStyle w:val="FirstParagraph"/>
      </w:pPr>
      <w:r>
        <w:t xml:space="preserve">This report details the Q3 2023 sales performance and strategic market penetration for our Doctor General Practitioner (GP) service network across Egypt, with primary focus on Cairo. The initiative represents a significant growth vector within the Egyptian healthcare sector, targeting underserved urban communities where access to quality primary care remains critically limited. Cairo, as the nation's largest metropolitan hub housing over 20 million residents and hosting 78% of Egypt’s private medical facilities, presents an unparalleled opportunity for scalable GP service deployment. Q3 results demonstrate a 34% year-over-year increase in new Doctor General Practitioner client acquisitions within Cairo, exceeding projected targets by 12%. Total revenue generated from GP service subscriptions and associated diagnostic packages reached EGP 8.7 million during the quarter, marking the highest quarterly performance to date for this vertical.</w:t>
      </w:r>
    </w:p>
    <w:bookmarkEnd w:id="20"/>
    <w:bookmarkStart w:id="21" w:name="ii.-market-analysis-egypt-cairo-context"/>
    <w:p>
      <w:pPr>
        <w:pStyle w:val="Heading2"/>
      </w:pPr>
      <w:r>
        <w:t xml:space="preserve">II. Market Analysis: Egypt Cairo Context</w:t>
      </w:r>
    </w:p>
    <w:p>
      <w:pPr>
        <w:pStyle w:val="FirstParagraph"/>
      </w:pPr>
      <w:r>
        <w:t xml:space="preserve">The Egyptian healthcare landscape in Cairo exhibits a pronounced gap between population needs and service delivery capacity. With only 0.4 GPs per 1,000 residents (WHO benchmark: 1+), compared to the regional average of 2.3, Cairo faces severe strain on its primary care infrastructure. Public sector clinics are consistently overcrowded, while private GP practices often lack integrated technology and referral pathways. This creates a compelling market for a premium, accessible Doctor General Practitioner service model that emphasizes continuity of care, digital health records (EHRs), and seamless specialist referrals – all critical pain points identified through our Q2 Cairo client surveys.</w:t>
      </w:r>
    </w:p>
    <w:p>
      <w:pPr>
        <w:pStyle w:val="BodyText"/>
      </w:pPr>
      <w:r>
        <w:t xml:space="preserve">Our market research (conducted across 5 major districts: Nasr City, Maadi, Zamalek, Heliopolis, and Mohandiseen) revealed that 68% of Cairo residents prioritize "same-day appointment availability" and "comprehensive health records accessible across visits" when selecting a GP. This directly aligns with our core service differentiators. Furthermore, the Egyptian government’s recent National Health Insurance Scheme (NHIS) rollout has increased private sector participation in primary care, creating favorable regulatory conditions for scalable Doctor General Practitioner offerings.</w:t>
      </w:r>
    </w:p>
    <w:bookmarkEnd w:id="21"/>
    <w:bookmarkStart w:id="22" w:name="X5cd95947edcc8e7f31fe7082c4b93c55276f514"/>
    <w:p>
      <w:pPr>
        <w:pStyle w:val="Heading2"/>
      </w:pPr>
      <w:r>
        <w:t xml:space="preserve">III. Q3 2023 Sales Performance: Doctor General Practitioner Service</w:t>
      </w:r>
    </w:p>
    <w:p>
      <w:pPr>
        <w:pStyle w:val="FirstParagraph"/>
      </w:pPr>
      <w:r>
        <w:rPr>
          <w:bCs/>
          <w:b/>
        </w:rPr>
        <w:t xml:space="preserve">New Client Acquisition:</w:t>
      </w:r>
      <w:r>
        <w:t xml:space="preserve"> </w:t>
      </w:r>
      <w:r>
        <w:t xml:space="preserve">147 new Cairo-based Doctor General Practitioner contracts secured, representing a 34% YoY increase. Key growth drivers included targeted outreach to expatriate communities (28% of new clients) and partnerships with major employers like EFG Hermes and Orascom Construction for employee wellness programs.</w:t>
      </w:r>
    </w:p>
    <w:p>
      <w:pPr>
        <w:pStyle w:val="BodyText"/>
      </w:pPr>
      <w:r>
        <w:rPr>
          <w:bCs/>
          <w:b/>
        </w:rPr>
        <w:t xml:space="preserve">Revenue Streams:</w:t>
      </w:r>
    </w:p>
    <w:p>
      <w:pPr>
        <w:numPr>
          <w:ilvl w:val="0"/>
          <w:numId w:val="1001"/>
        </w:numPr>
        <w:pStyle w:val="Compact"/>
      </w:pPr>
      <w:r>
        <w:rPr>
          <w:iCs/>
          <w:i/>
        </w:rPr>
        <w:t xml:space="preserve">Subscription Fees (Annual):</w:t>
      </w:r>
      <w:r>
        <w:t xml:space="preserve"> </w:t>
      </w:r>
      <w:r>
        <w:t xml:space="preserve">EGP 5,200 per patient (37% of total revenue). Average contract duration: 14 months.</w:t>
      </w:r>
    </w:p>
    <w:p>
      <w:pPr>
        <w:numPr>
          <w:ilvl w:val="0"/>
          <w:numId w:val="1001"/>
        </w:numPr>
        <w:pStyle w:val="Compact"/>
      </w:pPr>
      <w:r>
        <w:rPr>
          <w:iCs/>
          <w:i/>
        </w:rPr>
        <w:t xml:space="preserve">Diagnostic &amp; Screening Packages:</w:t>
      </w:r>
      <w:r>
        <w:t xml:space="preserve"> </w:t>
      </w:r>
      <w:r>
        <w:t xml:space="preserve">EGP 1,850 avg. per package (e.g., Comprehensive Health Check, Diabetes Management Bundle - 42% of revenue).</w:t>
      </w:r>
    </w:p>
    <w:p>
      <w:pPr>
        <w:numPr>
          <w:ilvl w:val="0"/>
          <w:numId w:val="1001"/>
        </w:numPr>
        <w:pStyle w:val="Compact"/>
      </w:pPr>
      <w:r>
        <w:rPr>
          <w:iCs/>
          <w:i/>
        </w:rPr>
        <w:t xml:space="preserve">Digital Platform Access:</w:t>
      </w:r>
      <w:r>
        <w:t xml:space="preserve"> </w:t>
      </w:r>
      <w:r>
        <w:t xml:space="preserve">EGP 350/year for telemedicine consultations and digital records (21% of revenue).</w:t>
      </w:r>
    </w:p>
    <w:p>
      <w:pPr>
        <w:pStyle w:val="FirstParagraph"/>
      </w:pPr>
      <w:r>
        <w:rPr>
          <w:bCs/>
          <w:b/>
        </w:rPr>
        <w:t xml:space="preserve">Geographical Breakdown (Cairo Focus):</w:t>
      </w:r>
    </w:p>
    <w:p>
      <w:pPr>
        <w:numPr>
          <w:ilvl w:val="0"/>
          <w:numId w:val="1002"/>
        </w:numPr>
        <w:pStyle w:val="Compact"/>
      </w:pPr>
      <w:r>
        <w:t xml:space="preserve">Nasr City &amp; Mohandiseen: 38% of total Cairo sales (high-density residential areas with growing middle class)</w:t>
      </w:r>
    </w:p>
    <w:p>
      <w:pPr>
        <w:numPr>
          <w:ilvl w:val="0"/>
          <w:numId w:val="1002"/>
        </w:numPr>
        <w:pStyle w:val="Compact"/>
      </w:pPr>
      <w:r>
        <w:t xml:space="preserve">Zamalek &amp; Maadi: 32% (premium segment, higher disposable income)</w:t>
      </w:r>
    </w:p>
    <w:p>
      <w:pPr>
        <w:numPr>
          <w:ilvl w:val="0"/>
          <w:numId w:val="1002"/>
        </w:numPr>
        <w:pStyle w:val="Compact"/>
      </w:pPr>
      <w:r>
        <w:t xml:space="preserve">Heliopolis: 18% (emerging professional community)</w:t>
      </w:r>
    </w:p>
    <w:p>
      <w:pPr>
        <w:numPr>
          <w:ilvl w:val="0"/>
          <w:numId w:val="1002"/>
        </w:numPr>
        <w:pStyle w:val="Compact"/>
      </w:pPr>
      <w:r>
        <w:t xml:space="preserve">Other Districts: 12%</w:t>
      </w:r>
    </w:p>
    <w:p>
      <w:pPr>
        <w:pStyle w:val="FirstParagraph"/>
      </w:pPr>
      <w:r>
        <w:rPr>
          <w:bCs/>
          <w:b/>
        </w:rPr>
        <w:t xml:space="preserve">Sales Conversion Rate:</w:t>
      </w:r>
      <w:r>
        <w:t xml:space="preserve"> </w:t>
      </w:r>
      <w:r>
        <w:t xml:space="preserve">47% for leads generated through targeted digital campaigns (Facebook/Instagram ads focused on "Cairo Doctor General Practitioner - Same-Day Care"), significantly outperforming the industry average of 32%. Key conversion factor: clear demonstration of reduced wait times (average &lt;24 hours vs. public clinic waits exceeding 5 days).</w:t>
      </w:r>
    </w:p>
    <w:bookmarkEnd w:id="22"/>
    <w:bookmarkStart w:id="23" w:name="Xa826b6ed327de811cf66fdb383acf1a64aba0ed"/>
    <w:p>
      <w:pPr>
        <w:pStyle w:val="Heading2"/>
      </w:pPr>
      <w:r>
        <w:t xml:space="preserve">IV. Strategic Recommendations for Q4 &amp; Beyond</w:t>
      </w:r>
    </w:p>
    <w:p>
      <w:pPr>
        <w:pStyle w:val="FirstParagraph"/>
      </w:pPr>
      <w:r>
        <w:t xml:space="preserve">To capitalize on Cairo’s high-growth potential and solidify our market leadership position in Doctor General Practitioner services, the following actions are recommended:</w:t>
      </w:r>
    </w:p>
    <w:p>
      <w:pPr>
        <w:numPr>
          <w:ilvl w:val="0"/>
          <w:numId w:val="1003"/>
        </w:numPr>
        <w:pStyle w:val="Compact"/>
      </w:pPr>
      <w:r>
        <w:rPr>
          <w:bCs/>
          <w:b/>
        </w:rPr>
        <w:t xml:space="preserve">Expand Digital Footprint in Cairo:</w:t>
      </w:r>
      <w:r>
        <w:t xml:space="preserve"> </w:t>
      </w:r>
      <w:r>
        <w:t xml:space="preserve">Increase targeted social media advertising by 40% for Q4, focusing on neighborhoods with highest unmet GP demand (e.g., El-Maadi, New Cairo). Develop localized Arabic content highlighting patient testimonials from verified Cairo-based Doctor General Practitioner clients.</w:t>
      </w:r>
    </w:p>
    <w:p>
      <w:pPr>
        <w:numPr>
          <w:ilvl w:val="0"/>
          <w:numId w:val="1003"/>
        </w:numPr>
        <w:pStyle w:val="Compact"/>
      </w:pPr>
      <w:r>
        <w:rPr>
          <w:bCs/>
          <w:b/>
        </w:rPr>
        <w:t xml:space="preserve">Strengthen Employer Partnerships:</w:t>
      </w:r>
      <w:r>
        <w:t xml:space="preserve"> </w:t>
      </w:r>
      <w:r>
        <w:t xml:space="preserve">Negotiate tiered pricing packages for major corporations across the Cairo Metropolitan Area. Target 20 new enterprise contracts by December 2023, building on existing wins at Egyptian Banking Institute and AUC (American University in Cairo) staff wellness programs.</w:t>
      </w:r>
    </w:p>
    <w:p>
      <w:pPr>
        <w:numPr>
          <w:ilvl w:val="0"/>
          <w:numId w:val="1003"/>
        </w:numPr>
        <w:pStyle w:val="Compact"/>
      </w:pPr>
      <w:r>
        <w:rPr>
          <w:bCs/>
          <w:b/>
        </w:rPr>
        <w:t xml:space="preserve">Optimize Clinic Locations:</w:t>
      </w:r>
      <w:r>
        <w:t xml:space="preserve"> </w:t>
      </w:r>
      <w:r>
        <w:t xml:space="preserve">Open a dedicated Doctor General Practitioner service hub in Nasr City (Q4), strategically positioned near metro stations and residential complexes to maximize accessibility – a key factor driving client acquisition in Q3.</w:t>
      </w:r>
    </w:p>
    <w:p>
      <w:pPr>
        <w:numPr>
          <w:ilvl w:val="0"/>
          <w:numId w:val="1003"/>
        </w:numPr>
        <w:pStyle w:val="Compact"/>
      </w:pPr>
      <w:r>
        <w:rPr>
          <w:bCs/>
          <w:b/>
        </w:rPr>
        <w:t xml:space="preserve">Enhance EHR Integration:</w:t>
      </w:r>
      <w:r>
        <w:t xml:space="preserve"> </w:t>
      </w:r>
      <w:r>
        <w:t xml:space="preserve">Partner with leading Cairo hospitals (e.g., Misr Hospital, Nasser Institute) to ensure seamless electronic health record sharing, addressing a top client concern identified in our Q3 feedback. This will significantly enhance service stickiness and referral potential.</w:t>
      </w:r>
    </w:p>
    <w:bookmarkEnd w:id="23"/>
    <w:bookmarkStart w:id="24" w:name="v.-key-challenges-mitigation-strategies"/>
    <w:p>
      <w:pPr>
        <w:pStyle w:val="Heading2"/>
      </w:pPr>
      <w:r>
        <w:t xml:space="preserve">V. Key Challenges &amp; Mitigation Strategies</w:t>
      </w:r>
    </w:p>
    <w:p>
      <w:pPr>
        <w:pStyle w:val="FirstParagraph"/>
      </w:pPr>
      <w:r>
        <w:rPr>
          <w:bCs/>
          <w:b/>
        </w:rPr>
        <w:t xml:space="preserve">Challenge 1: Regulatory Compliance in Cairo's Evolving Healthcare Market</w:t>
      </w:r>
      <w:r>
        <w:t xml:space="preserve"> </w:t>
      </w:r>
      <w:r>
        <w:t xml:space="preserve">*Mitigation:* Dedicated Cairo regulatory affairs officer now embedded within the sales team to navigate NHIS requirements and Ministry of Health licensing protocols, ensuring all Doctor General Practitioner contracts meet local legal standards. This reduced onboarding delays by 25% in Q3.</w:t>
      </w:r>
    </w:p>
    <w:p>
      <w:pPr>
        <w:pStyle w:val="BodyText"/>
      </w:pPr>
      <w:r>
        <w:rPr>
          <w:bCs/>
          <w:b/>
        </w:rPr>
        <w:t xml:space="preserve">Challenge 2: Price Sensitivity in Mid-Tier Cairo Market</w:t>
      </w:r>
      <w:r>
        <w:t xml:space="preserve"> </w:t>
      </w:r>
      <w:r>
        <w:t xml:space="preserve">*Mitigation:* Launched a "Family Plan" subscription (EGP 12,000/year for up to 4 family members) with bundled diagnostics. This plan captured 15% of Q3 new clients and increased average revenue per user (ARPU) by 18%.</w:t>
      </w:r>
    </w:p>
    <w:bookmarkEnd w:id="24"/>
    <w:bookmarkStart w:id="25" w:name="vi.-conclusion"/>
    <w:p>
      <w:pPr>
        <w:pStyle w:val="Heading2"/>
      </w:pPr>
      <w:r>
        <w:t xml:space="preserve">VI. Conclusion</w:t>
      </w:r>
    </w:p>
    <w:p>
      <w:pPr>
        <w:pStyle w:val="FirstParagraph"/>
      </w:pPr>
      <w:r>
        <w:t xml:space="preserve">The Doctor General Practitioner service model has proven highly resonant within the dynamic Egyptian market, particularly in Cairo where demand for accessible, high-quality primary care is acute and underserved. Q3 results confirm a strong commercial trajectory driven by clear value propositions addressing Cairo residents' most pressing healthcare pain points: wait times, fragmented records, and limited access to continuity of care. With strategic investments in digital marketing, clinic expansion within key Cairo districts (Nasr City, Maadi), and deeper integration with the broader Egyptian healthcare ecosystem through NHIS partnerships, we project a minimum 25% revenue increase for Q4 2023. Sustained focus on delivering exceptional patient experience by our Cairo-based Doctor General Practitioner network will be paramount to securing long-term market leadership in Egypt's most critical healthcare hub. The future of primary care delivery in Egypt Cairo is increasingly defined by accessible, integrated Doctor General Practitioner services – and our sales momentum positions us firmly at the forefront.</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in Egypt Cairo</dc:title>
  <dc:creator/>
  <dc:language>en</dc:language>
  <cp:keywords/>
  <dcterms:created xsi:type="dcterms:W3CDTF">2026-07-23T05:55:01Z</dcterms:created>
  <dcterms:modified xsi:type="dcterms:W3CDTF">2026-07-23T05:55:01Z</dcterms:modified>
</cp:coreProperties>
</file>

<file path=docProps/custom.xml><?xml version="1.0" encoding="utf-8"?>
<Properties xmlns="http://schemas.openxmlformats.org/officeDocument/2006/custom-properties" xmlns:vt="http://schemas.openxmlformats.org/officeDocument/2006/docPropsVTypes"/>
</file>