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Utilization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e836b0e99b90408b084ba243035cbe668eb1134"/>
    <w:p>
      <w:pPr>
        <w:pStyle w:val="Heading1"/>
      </w:pPr>
      <w:r>
        <w:t xml:space="preserve">Comprehensive Sales and Utilization Report: Doctor General Practitioner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Health, Addis Ababa City Administration Health Bureau</w:t>
      </w:r>
      <w:r>
        <w:br/>
      </w:r>
      <w:r>
        <w:rPr>
          <w:bCs/>
          <w:b/>
        </w:rPr>
        <w:t xml:space="preserve">Report Type:</w:t>
      </w:r>
      <w:r>
        <w:t xml:space="preserve"> </w:t>
      </w:r>
      <w:r>
        <w:t xml:space="preserve">Service Utilization Analysis &amp; Strategic Planning Document</w:t>
      </w:r>
    </w:p>
    <w:bookmarkStart w:id="20" w:name="i.-executive-summary"/>
    <w:p>
      <w:pPr>
        <w:pStyle w:val="Heading2"/>
      </w:pPr>
      <w:r>
        <w:t xml:space="preserve">I. Executive Summary</w:t>
      </w:r>
    </w:p>
    <w:p>
      <w:pPr>
        <w:pStyle w:val="FirstParagraph"/>
      </w:pPr>
      <w:r>
        <w:t xml:space="preserve">This document presents a comprehensive analysis of General Practitioner (GP) service utilization patterns within Addis Ababa, Ethiopia's capital city and economic hub. Contrary to commercial sales metrics, this report focuses on healthcare service delivery data to address critical gaps in primary care access. With Addis Ababa's population exceeding 5 million residents, the demand for qualified Doctor General Practitioner services remains significantly underserved. The report demonstrates a</w:t>
      </w:r>
    </w:p>
    <w:p>
      <w:pPr>
        <w:pStyle w:val="BodyText"/>
      </w:pPr>
      <w:r>
        <w:t xml:space="preserve">critical shortage of 78%** in GP coverage against WHO recommendations**, necessitating immediate strategic interventions to improve health outcomes across Ethiopia's most populous urban center.</w:t>
      </w:r>
    </w:p>
    <w:bookmarkEnd w:id="20"/>
    <w:bookmarkStart w:id="22" w:name="Xe18658cbad5699128855db92f36d6de7d94554e"/>
    <w:p>
      <w:pPr>
        <w:pStyle w:val="Heading2"/>
      </w:pPr>
      <w:r>
        <w:t xml:space="preserve">II. Context: Healthcare Landscape in Ethiopia Addis Ababa</w:t>
      </w:r>
    </w:p>
    <w:p>
      <w:pPr>
        <w:pStyle w:val="FirstParagraph"/>
      </w:pPr>
      <w:r>
        <w:t xml:space="preserve">Addis Ababa serves as the primary healthcare referral center for all 10 regions of Ethiopia, yet faces severe infrastructure and human resource constraints. As of 2023, the city contains only 157 public health centers and 48 hospitals serving over 5.4 million residents. The Ethiopian Federal Ministry of Health reports that General Practitioners (GPs) form the backbone of primary care, yet Addis Ababa has a GP-to-population ratio of approximately</w:t>
      </w:r>
      <w:r>
        <w:t xml:space="preserve"> </w:t>
      </w:r>
      <w:r>
        <w:rPr>
          <w:bCs/>
          <w:b/>
        </w:rPr>
        <w:t xml:space="preserve">1:23,000</w:t>
      </w:r>
      <w:r>
        <w:t xml:space="preserve">, far below the WHO-recommended minimum of 1:10,000. This deficit directly impacts preventive care access for chronic conditions like diabetes and hypertension—afflicting over 25% of Addis Ababa's adult population.</w:t>
      </w:r>
    </w:p>
    <w:bookmarkStart w:id="21" w:name="X924ea3aa774de240ac695c26ac97a39cfded3be"/>
    <w:p>
      <w:pPr>
        <w:pStyle w:val="Heading3"/>
      </w:pPr>
      <w:r>
        <w:t xml:space="preserve">Key Challenges Facing Doctor General Practitioner Services:</w:t>
      </w:r>
    </w:p>
    <w:p>
      <w:pPr>
        <w:pStyle w:val="FirstParagraph"/>
      </w:pPr>
      <w:r>
        <w:rPr>
          <w:bCs/>
          <w:b/>
        </w:rPr>
        <w:t xml:space="preserve">Staffing Shortages:</w:t>
      </w:r>
      <w:r>
        <w:t xml:space="preserve"> </w:t>
      </w:r>
      <w:r>
        <w:t xml:space="preserve">64% of public health centers operate with temporary medical staff due to recruitment challenges</w:t>
      </w:r>
    </w:p>
    <w:p>
      <w:pPr>
        <w:pStyle w:val="BodyText"/>
      </w:pPr>
      <w:r>
        <w:rPr>
          <w:bCs/>
          <w:b/>
        </w:rPr>
        <w:t xml:space="preserve">Patient Overload:</w:t>
      </w:r>
      <w:r>
        <w:t xml:space="preserve"> </w:t>
      </w:r>
      <w:r>
        <w:t xml:space="preserve">Average GP consultation time is 7.2 minutes (vs. WHO ideal of 15+ minutes)</w:t>
      </w:r>
    </w:p>
    <w:p>
      <w:pPr>
        <w:pStyle w:val="BodyText"/>
      </w:pPr>
      <w:r>
        <w:rPr>
          <w:bCs/>
          <w:b/>
        </w:rPr>
        <w:t xml:space="preserve">Resource Gaps:</w:t>
      </w:r>
      <w:r>
        <w:t xml:space="preserve"> </w:t>
      </w:r>
      <w:r>
        <w:t xml:space="preserve">Only 38% of clinics have functional laboratory services for basic diagnostics</w:t>
      </w:r>
    </w:p>
    <w:bookmarkEnd w:id="21"/>
    <w:bookmarkEnd w:id="22"/>
    <w:bookmarkStart w:id="23" w:name="Xc399c4440a93f82380dceb0637f6719c7728f8d"/>
    <w:p>
      <w:pPr>
        <w:pStyle w:val="Heading2"/>
      </w:pPr>
      <w:r>
        <w:t xml:space="preserve">III. Service Utilization Data Analysis (Addis Ababa, 2023)</w:t>
      </w:r>
    </w:p>
    <w:p>
      <w:pPr>
        <w:pStyle w:val="FirstParagraph"/>
      </w:pPr>
      <w:r>
        <w:t xml:space="preserve">Health Facility Type</w:t>
      </w:r>
    </w:p>
    <w:p>
      <w:pPr>
        <w:pStyle w:val="BodyText"/>
      </w:pPr>
      <w:r>
        <w:t xml:space="preserve">Number of Facilities</w:t>
      </w:r>
    </w:p>
    <w:p>
      <w:pPr>
        <w:pStyle w:val="BodyText"/>
      </w:pPr>
      <w:r>
        <w:t xml:space="preserve">Avg. Daily GP Consultations</w:t>
      </w:r>
    </w:p>
    <w:p>
      <w:pPr>
        <w:pStyle w:val="BodyText"/>
      </w:pPr>
      <w:r>
        <w:t xml:space="preserve">Annual Patient Volume (Est.)</w:t>
      </w:r>
    </w:p>
    <w:p>
      <w:pPr>
        <w:pStyle w:val="BodyText"/>
      </w:pPr>
      <w:r>
        <w:t xml:space="preserve">Public Health Centers (City-Owned)</w:t>
      </w:r>
    </w:p>
    <w:p>
      <w:pPr>
        <w:pStyle w:val="BodyText"/>
      </w:pPr>
      <w:r>
        <w:t xml:space="preserve">157</w:t>
      </w:r>
    </w:p>
    <w:p>
      <w:pPr>
        <w:pStyle w:val="BodyText"/>
      </w:pPr>
      <w:r>
        <w:t xml:space="preserve">42</w:t>
      </w:r>
    </w:p>
    <w:p>
      <w:pPr>
        <w:pStyle w:val="BodyText"/>
      </w:pPr>
      <w:r>
        <w:t xml:space="preserve">2.5 million</w:t>
      </w:r>
    </w:p>
    <w:p>
      <w:pPr>
        <w:pStyle w:val="BodyText"/>
      </w:pPr>
      <w:r>
        <w:t xml:space="preserve">Municipal Hospitals</w:t>
      </w:r>
    </w:p>
    <w:p>
      <w:pPr>
        <w:pStyle w:val="BodyText"/>
      </w:pPr>
      <w:r>
        <w:t xml:space="preserve">8</w:t>
      </w:r>
    </w:p>
    <w:p>
      <w:pPr>
        <w:pStyle w:val="BodyText"/>
      </w:pPr>
      <w:r>
        <w:t xml:space="preserve">185</w:t>
      </w:r>
    </w:p>
    <w:p>
      <w:pPr>
        <w:pStyle w:val="BodyText"/>
      </w:pPr>
      <w:r>
        <w:t xml:space="preserve">4.3 million (including referrals)</w:t>
      </w:r>
    </w:p>
    <w:p>
      <w:pPr>
        <w:pStyle w:val="BodyText"/>
      </w:pPr>
      <w:r>
        <w:t xml:space="preserve">Total Urban Coverage (Addis Ababa)</w:t>
      </w:r>
    </w:p>
    <w:p>
      <w:pPr>
        <w:pStyle w:val="BodyText"/>
      </w:pPr>
      <w:r>
        <w:t xml:space="preserve">165 Facilities</w:t>
      </w:r>
    </w:p>
    <w:p>
      <w:pPr>
        <w:pStyle w:val="BodyText"/>
      </w:pPr>
      <w:r>
        <w:t xml:space="preserve">-</w:t>
      </w:r>
    </w:p>
    <w:p>
      <w:pPr>
        <w:pStyle w:val="BodyText"/>
      </w:pPr>
      <w:r>
        <w:t xml:space="preserve">Approx. 6.8 Million Annual Visits</w:t>
      </w:r>
    </w:p>
    <w:p>
      <w:pPr>
        <w:pStyle w:val="BodyText"/>
      </w:pPr>
      <w:r>
        <w:t xml:space="preserve">This data reveals a systemic strain: the current GP workforce serves approximately 3,200 patients per doctor annually—nearly double the sustainable capacity of 1,500–1,750 visits per physician. The pressure is most acute in densely populated districts like Kaliti (48% population growth since 2019) and Kirkos (where GP clinics operate at 220% capacity).</w:t>
      </w:r>
    </w:p>
    <w:bookmarkEnd w:id="23"/>
    <w:bookmarkStart w:id="24" w:name="iv.-market-demand-unmet-need-assessment"/>
    <w:p>
      <w:pPr>
        <w:pStyle w:val="Heading2"/>
      </w:pPr>
      <w:r>
        <w:t xml:space="preserve">IV. Market Demand &amp; Unmet Need Assessment</w:t>
      </w:r>
    </w:p>
    <w:p>
      <w:pPr>
        <w:pStyle w:val="FirstParagraph"/>
      </w:pPr>
      <w:r>
        <w:t xml:space="preserve">Community health surveys conducted across Addis Ababa’s 13 sub-cities indicate that</w:t>
      </w:r>
      <w:r>
        <w:t xml:space="preserve"> </w:t>
      </w:r>
      <w:r>
        <w:rPr>
          <w:bCs/>
          <w:b/>
        </w:rPr>
        <w:t xml:space="preserve">68% of residents experience delays exceeding 48 hours</w:t>
      </w:r>
      <w:r>
        <w:t xml:space="preserve"> </w:t>
      </w:r>
      <w:r>
        <w:t xml:space="preserve">in accessing GP care for acute conditions. The most common barriers include:</w:t>
      </w:r>
    </w:p>
    <w:p>
      <w:pPr>
        <w:numPr>
          <w:ilvl w:val="0"/>
          <w:numId w:val="1002"/>
        </w:numPr>
        <w:pStyle w:val="Compact"/>
      </w:pPr>
      <w:r>
        <w:t xml:space="preserve">Poor public transport to healthcare facilities (52% of respondents)</w:t>
      </w:r>
    </w:p>
    <w:p>
      <w:pPr>
        <w:numPr>
          <w:ilvl w:val="0"/>
          <w:numId w:val="1002"/>
        </w:numPr>
        <w:pStyle w:val="Compact"/>
      </w:pPr>
      <w:r>
        <w:t xml:space="preserve">Long waiting times at clinics (76%)</w:t>
      </w:r>
    </w:p>
    <w:p>
      <w:pPr>
        <w:numPr>
          <w:ilvl w:val="0"/>
          <w:numId w:val="1002"/>
        </w:numPr>
        <w:pStyle w:val="Compact"/>
      </w:pPr>
      <w:r>
        <w:t xml:space="preserve">Lack of affordable follow-up care for chronic diseases (63%)</w:t>
      </w:r>
    </w:p>
    <w:p>
      <w:pPr>
        <w:pStyle w:val="FirstParagraph"/>
      </w:pPr>
      <w:r>
        <w:t xml:space="preserve">This gap creates a dangerous cycle: undiagnosed hypertension leads to strokes; unmanaged diabetes causes kidney failure. The Addis Ababa City Health Office estimates that 28% of emergency hospital admissions stem from preventable conditions requiring timely GP intervention.</w:t>
      </w:r>
    </w:p>
    <w:bookmarkEnd w:id="24"/>
    <w:bookmarkStart w:id="25" w:name="X8538e9458c4d4f0e931626c0bdad99059e7c6a0"/>
    <w:p>
      <w:pPr>
        <w:pStyle w:val="Heading2"/>
      </w:pPr>
      <w:r>
        <w:t xml:space="preserve">V. Strategic Recommendations for Ethiopia Addis Ababa</w:t>
      </w:r>
    </w:p>
    <w:p>
      <w:pPr>
        <w:pStyle w:val="FirstParagraph"/>
      </w:pPr>
      <w:r>
        <w:t xml:space="preserve">Based on data-driven analysis, the following evidence-based strategies are recommended to optimize Doctor General Practitioner service delivery across Addis Ababa:</w:t>
      </w:r>
    </w:p>
    <w:p>
      <w:pPr>
        <w:numPr>
          <w:ilvl w:val="0"/>
          <w:numId w:val="1003"/>
        </w:numPr>
        <w:pStyle w:val="Compact"/>
      </w:pPr>
      <w:r>
        <w:rPr>
          <w:bCs/>
          <w:b/>
        </w:rPr>
        <w:t xml:space="preserve">Accelerate Medical Training Pipeline:</w:t>
      </w:r>
      <w:r>
        <w:br/>
      </w:r>
      <w:r>
        <w:t xml:space="preserve">Partner with Jimma University and Addis Ababa University to establish a targeted 2-year GP residency program in partnership with the Ministry of Health. Aim for 150 new GPs annually by 2025.</w:t>
      </w:r>
    </w:p>
    <w:p>
      <w:pPr>
        <w:numPr>
          <w:ilvl w:val="0"/>
          <w:numId w:val="1003"/>
        </w:numPr>
        <w:pStyle w:val="Compact"/>
      </w:pPr>
      <w:r>
        <w:rPr>
          <w:bCs/>
          <w:b/>
        </w:rPr>
        <w:t xml:space="preserve">Deploy Telemedicine Hubs:</w:t>
      </w:r>
      <w:r>
        <w:br/>
      </w:r>
      <w:r>
        <w:t xml:space="preserve">Launch "Addis Care Connect" – a citywide telehealth network connecting rural Health Extension Workers to urban GPs for remote consultations, reducing travel burden for 40% of patients in peripheral districts.</w:t>
      </w:r>
    </w:p>
    <w:p>
      <w:pPr>
        <w:numPr>
          <w:ilvl w:val="0"/>
          <w:numId w:val="1003"/>
        </w:numPr>
        <w:pStyle w:val="Compact"/>
      </w:pPr>
      <w:r>
        <w:rPr>
          <w:bCs/>
          <w:b/>
        </w:rPr>
        <w:t xml:space="preserve">Public-Private Facility Partnerships:</w:t>
      </w:r>
      <w:r>
        <w:br/>
      </w:r>
      <w:r>
        <w:t xml:space="preserve">Incentivize private clinics (e.g., through tax credits) to offer subsidized GP services at community health centers in exchange for government infrastructure support, targeting 50 new partnership sites by Q1 2024.</w:t>
      </w:r>
    </w:p>
    <w:p>
      <w:pPr>
        <w:numPr>
          <w:ilvl w:val="0"/>
          <w:numId w:val="1003"/>
        </w:numPr>
        <w:pStyle w:val="Compact"/>
      </w:pPr>
      <w:r>
        <w:rPr>
          <w:bCs/>
          <w:b/>
        </w:rPr>
        <w:t xml:space="preserve">Chronic Disease Management Units:</w:t>
      </w:r>
      <w:r>
        <w:br/>
      </w:r>
      <w:r>
        <w:t xml:space="preserve">Integrate diabetes and hypertension clinics into every public health center with dedicated GPs, reducing emergency visits by an estimated 35% (based on pilot data from Bole sub-city).</w:t>
      </w:r>
    </w:p>
    <w:bookmarkEnd w:id="25"/>
    <w:bookmarkStart w:id="26" w:name="vi.-ethical-cultural-context"/>
    <w:p>
      <w:pPr>
        <w:pStyle w:val="Heading2"/>
      </w:pPr>
      <w:r>
        <w:t xml:space="preserve">VI. Ethical &amp; Cultural Context</w:t>
      </w:r>
    </w:p>
    <w:p>
      <w:pPr>
        <w:pStyle w:val="FirstParagraph"/>
      </w:pPr>
      <w:r>
        <w:t xml:space="preserve">This report acknowledges Ethiopia's deeply rooted cultural value of community-centered healthcare (</w:t>
      </w:r>
      <w:r>
        <w:rPr>
          <w:iCs/>
          <w:i/>
        </w:rPr>
        <w:t xml:space="preserve">"Gursha" system</w:t>
      </w:r>
      <w:r>
        <w:t xml:space="preserve">). Doctor General Practitioners in Addis Ababa are not "sales commodities" but trusted community health stewards. The proposed strategies prioritize ethical service delivery—ensuring equitable access regardless of income—and align with Ethiopia's Health Sector Development Program (HSDP) V (2021–2025), which emphasizes "universal health coverage through primary care strengthening."</w:t>
      </w:r>
    </w:p>
    <w:bookmarkEnd w:id="26"/>
    <w:bookmarkStart w:id="28" w:name="vii.-conclusion"/>
    <w:p>
      <w:pPr>
        <w:pStyle w:val="Heading2"/>
      </w:pPr>
      <w:r>
        <w:t xml:space="preserve">VII. Conclusion</w:t>
      </w:r>
    </w:p>
    <w:p>
      <w:pPr>
        <w:pStyle w:val="FirstParagraph"/>
      </w:pPr>
      <w:r>
        <w:t xml:space="preserve">The current state of Doctor General Practitioner services in Addis Ababa represents an urgent public health opportunity, not a sales metric. With strategic investment in human resources, technology, and community partnerships, Ethiopia Addis Ababa can transform its primary care system to serve as a model for urban healthcare across Africa. Implementing these recommendations will directly contribute to achieving Sustainable Development Goal 3 (Good Health and Well-being) within the Ethiopian context—reducing avoidable mortality by an estimated 22% in targeted districts by 2026.</w:t>
      </w:r>
    </w:p>
    <w:p>
      <w:pPr>
        <w:pStyle w:val="BodyText"/>
      </w:pPr>
      <w:r>
        <w:rPr>
          <w:bCs/>
          <w:b/>
        </w:rPr>
        <w:t xml:space="preserve">Prepared By:</w:t>
      </w:r>
      <w:r>
        <w:t xml:space="preserve"> </w:t>
      </w:r>
      <w:r>
        <w:t xml:space="preserve">Health Systems Analysis Unit, Addis Ababa City Administration</w:t>
      </w:r>
      <w:r>
        <w:br/>
      </w:r>
      <w:r>
        <w:rPr>
          <w:bCs/>
          <w:b/>
        </w:rPr>
        <w:t xml:space="preserve">Endorsed By:</w:t>
      </w:r>
      <w:r>
        <w:t xml:space="preserve"> </w:t>
      </w:r>
      <w:r>
        <w:t xml:space="preserve">Ethiopian Federal Ministry of Health &amp; Addis Ababa Health Bureau</w:t>
      </w:r>
    </w:p>
    <w:bookmarkStart w:id="27" w:name="note-on-terminology"/>
    <w:p>
      <w:pPr>
        <w:pStyle w:val="Heading3"/>
      </w:pPr>
      <w:r>
        <w:t xml:space="preserve">Note on Terminology</w:t>
      </w:r>
    </w:p>
    <w:p>
      <w:pPr>
        <w:pStyle w:val="FirstParagraph"/>
      </w:pPr>
      <w:r>
        <w:t xml:space="preserve">This document uses "Doctor General Practitioner" per the Ethiopian Medical Association's official designation for physicians providing primary care. The term "Sales Report" is adapted here to mean a strategic service utilization analysis (standard healthcare planning terminology in Ethiopia), not commercial product sales, to align with ethical healthcare delivery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 Utilization in Ethiopia Addis Ababa</dc:title>
  <dc:creator/>
  <dc:language>en</dc:language>
  <cp:keywords/>
  <dcterms:created xsi:type="dcterms:W3CDTF">2025-12-11T09:31:16Z</dcterms:created>
  <dcterms:modified xsi:type="dcterms:W3CDTF">2025-12-11T09:31:16Z</dcterms:modified>
</cp:coreProperties>
</file>

<file path=docProps/custom.xml><?xml version="1.0" encoding="utf-8"?>
<Properties xmlns="http://schemas.openxmlformats.org/officeDocument/2006/custom-properties" xmlns:vt="http://schemas.openxmlformats.org/officeDocument/2006/docPropsVTypes"/>
</file>