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General</w:t>
      </w:r>
      <w:r>
        <w:t xml:space="preserve"> </w:t>
      </w:r>
      <w:r>
        <w:t xml:space="preserve">Practitioner</w:t>
      </w:r>
      <w:r>
        <w:t xml:space="preserve"> </w:t>
      </w:r>
      <w:r>
        <w:t xml:space="preserve">Service</w:t>
      </w:r>
      <w:r>
        <w:t xml:space="preserve"> </w:t>
      </w:r>
      <w:r>
        <w:t xml:space="preserve">Performance</w:t>
      </w:r>
      <w:r>
        <w:t xml:space="preserve"> </w:t>
      </w:r>
      <w:r>
        <w:t xml:space="preserve">Report</w:t>
      </w:r>
    </w:p>
    <w:bookmarkStart w:id="31" w:name="X1d92643d03d6c512a111b5f84f010aae8bd557f"/>
    <w:p>
      <w:pPr>
        <w:pStyle w:val="Heading1"/>
      </w:pPr>
      <w:r>
        <w:t xml:space="preserve">Sales Report: General Practitioner Service Performance in Paris,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Paris Healthcare Management Board</w:t>
      </w:r>
      <w:r>
        <w:br/>
      </w:r>
      <w:r>
        <w:rPr>
          <w:bCs/>
          <w:b/>
        </w:rPr>
        <w:t xml:space="preserve">Prepared By:</w:t>
      </w:r>
      <w:r>
        <w:t xml:space="preserve"> </w:t>
      </w:r>
      <w:r>
        <w:t xml:space="preserve">Metropolitan Health Analytics Division</w:t>
      </w:r>
    </w:p>
    <w:bookmarkStart w:id="20" w:name="executive-summary"/>
    <w:p>
      <w:pPr>
        <w:pStyle w:val="Heading2"/>
      </w:pPr>
      <w:r>
        <w:t xml:space="preserve">Executive Summary</w:t>
      </w:r>
    </w:p>
    <w:p>
      <w:pPr>
        <w:pStyle w:val="FirstParagraph"/>
      </w:pPr>
      <w:r>
        <w:t xml:space="preserve">This comprehensive Sales Report details the operational performance of General Practitioner (</w:t>
      </w:r>
      <w:r>
        <w:rPr>
          <w:iCs/>
          <w:i/>
        </w:rPr>
        <w:t xml:space="preserve">Docteur Médecin Généraliste</w:t>
      </w:r>
      <w:r>
        <w:t xml:space="preserve">) services across Paris, France. While healthcare delivery in France operates under a public health framework rather than commercial "sales," this report analyzes service utilization metrics, patient satisfaction trends, and practice efficiency—critical components for strategic planning within the French healthcare system. The focus remains on optimizing</w:t>
      </w:r>
      <w:r>
        <w:t xml:space="preserve"> </w:t>
      </w:r>
      <w:r>
        <w:rPr>
          <w:bCs/>
          <w:b/>
        </w:rPr>
        <w:t xml:space="preserve">Doctor General Practitioner</w:t>
      </w:r>
      <w:r>
        <w:t xml:space="preserve"> </w:t>
      </w:r>
      <w:r>
        <w:t xml:space="preserve">service delivery to meet Parisian population needs through data-driven insights aligned with</w:t>
      </w:r>
      <w:r>
        <w:t xml:space="preserve"> </w:t>
      </w:r>
      <w:r>
        <w:rPr>
          <w:bCs/>
          <w:b/>
        </w:rPr>
        <w:t xml:space="preserve">France Paris</w:t>
      </w:r>
      <w:r>
        <w:t xml:space="preserve">'s public health priorities.</w:t>
      </w:r>
    </w:p>
    <w:bookmarkEnd w:id="20"/>
    <w:bookmarkStart w:id="21" w:name="Xa9006d1f5391053b776209a3f9bfb1841ef1f38"/>
    <w:p>
      <w:pPr>
        <w:pStyle w:val="Heading2"/>
      </w:pPr>
      <w:r>
        <w:t xml:space="preserve">Section 1: Service Utilization Metrics in Paris (Q3 2023)</w:t>
      </w:r>
    </w:p>
    <w:p>
      <w:pPr>
        <w:pStyle w:val="FirstParagraph"/>
      </w:pPr>
      <w:r>
        <w:rPr>
          <w:bCs/>
          <w:b/>
        </w:rPr>
        <w:t xml:space="preserve">Doctor General Practitioner</w:t>
      </w:r>
      <w:r>
        <w:t xml:space="preserve"> </w:t>
      </w:r>
      <w:r>
        <w:t xml:space="preserve">consultations in Paris increased by 7.8% year-over-year, reflecting population growth and aging demographics. Key statistics:</w:t>
      </w:r>
    </w:p>
    <w:p>
      <w:pPr>
        <w:numPr>
          <w:ilvl w:val="0"/>
          <w:numId w:val="1001"/>
        </w:numPr>
        <w:pStyle w:val="Compact"/>
      </w:pPr>
      <w:r>
        <w:rPr>
          <w:bCs/>
          <w:b/>
        </w:rPr>
        <w:t xml:space="preserve">Patient Volume:</w:t>
      </w:r>
      <w:r>
        <w:t xml:space="preserve"> </w:t>
      </w:r>
      <w:r>
        <w:t xml:space="preserve">142,500 consultations delivered across 312 clinics in Paris (vs. 132,000 in Q3 2022)</w:t>
      </w:r>
    </w:p>
    <w:p>
      <w:pPr>
        <w:numPr>
          <w:ilvl w:val="0"/>
          <w:numId w:val="1001"/>
        </w:numPr>
        <w:pStyle w:val="Compact"/>
      </w:pPr>
      <w:r>
        <w:rPr>
          <w:bCs/>
          <w:b/>
        </w:rPr>
        <w:t xml:space="preserve">Specialization Breakdown:</w:t>
      </w:r>
    </w:p>
    <w:p>
      <w:pPr>
        <w:numPr>
          <w:ilvl w:val="1"/>
          <w:numId w:val="1002"/>
        </w:numPr>
        <w:pStyle w:val="Compact"/>
      </w:pPr>
      <w:r>
        <w:t xml:space="preserve">Pediatrics: 34%</w:t>
      </w:r>
    </w:p>
    <w:p>
      <w:pPr>
        <w:numPr>
          <w:ilvl w:val="1"/>
          <w:numId w:val="1002"/>
        </w:numPr>
        <w:pStyle w:val="Compact"/>
      </w:pPr>
      <w:r>
        <w:t xml:space="preserve">Geriatrics: 28%</w:t>
      </w:r>
    </w:p>
    <w:p>
      <w:pPr>
        <w:numPr>
          <w:ilvl w:val="1"/>
          <w:numId w:val="1002"/>
        </w:numPr>
        <w:pStyle w:val="Compact"/>
      </w:pPr>
      <w:r>
        <w:t xml:space="preserve">General Adult Care: 30%</w:t>
      </w:r>
    </w:p>
    <w:bookmarkEnd w:id="21"/>
    <w:bookmarkStart w:id="22" w:name="Xbba11fb82c96ffa13a96d75632e071bfe3cd6bf"/>
    <w:p>
      <w:pPr>
        <w:pStyle w:val="Heading2"/>
      </w:pPr>
      <w:r>
        <w:t xml:space="preserve">Section 2: Patient Satisfaction &amp; Service Quality</w:t>
      </w:r>
    </w:p>
    <w:p>
      <w:pPr>
        <w:pStyle w:val="FirstParagraph"/>
      </w:pPr>
      <w:r>
        <w:t xml:space="preserve">Parisian patients rated their experiences with local General Practitioners at 4.3/5 on the national satisfaction index (vs. national average of 4.1). Key drivers:</w:t>
      </w:r>
    </w:p>
    <w:p>
      <w:pPr>
        <w:pStyle w:val="BodyText"/>
      </w:pPr>
      <w:r>
        <w:t xml:space="preserve">Performance Metric</w:t>
      </w:r>
    </w:p>
    <w:p>
      <w:pPr>
        <w:pStyle w:val="BodyText"/>
      </w:pPr>
      <w:r>
        <w:t xml:space="preserve">Paris Score</w:t>
      </w:r>
    </w:p>
    <w:p>
      <w:pPr>
        <w:pStyle w:val="BodyText"/>
      </w:pPr>
      <w:r>
        <w:t xml:space="preserve">National Average</w:t>
      </w:r>
    </w:p>
    <w:p>
      <w:pPr>
        <w:pStyle w:val="BodyText"/>
      </w:pPr>
      <w:r>
        <w:t xml:space="preserve">Wait Time for Appointments (Days)</w:t>
      </w:r>
    </w:p>
    <w:p>
      <w:pPr>
        <w:pStyle w:val="BodyText"/>
      </w:pPr>
      <w:r>
        <w:t xml:space="preserve">4.2</w:t>
      </w:r>
    </w:p>
    <w:p>
      <w:pPr>
        <w:pStyle w:val="BodyText"/>
      </w:pPr>
      <w:r>
        <w:t xml:space="preserve">5.7</w:t>
      </w:r>
    </w:p>
    <w:p>
      <w:pPr>
        <w:pStyle w:val="BodyText"/>
      </w:pPr>
      <w:r>
        <w:t xml:space="preserve">Patient Communication Clarity</w:t>
      </w:r>
    </w:p>
    <w:p>
      <w:pPr>
        <w:pStyle w:val="BodyText"/>
      </w:pPr>
      <w:r>
        <w:t xml:space="preserve">&lt;</w:t>
      </w:r>
    </w:p>
    <w:p>
      <w:pPr>
        <w:pStyle w:val="BodyText"/>
      </w:pPr>
      <w:r>
        <w:t xml:space="preserve">92%</w:t>
      </w:r>
    </w:p>
    <w:p>
      <w:pPr>
        <w:pStyle w:val="BodyText"/>
      </w:pPr>
      <w:r>
        <w:t xml:space="preserve">86%</w:t>
      </w:r>
    </w:p>
    <w:p>
      <w:pPr>
        <w:pStyle w:val="BodyText"/>
      </w:pPr>
      <w:r>
        <w:t xml:space="preserve">Satisfaction with Teleconsultation Services (Post-2021 Digital Rollout)</w:t>
      </w:r>
    </w:p>
    <w:p>
      <w:pPr>
        <w:pStyle w:val="BodyText"/>
      </w:pPr>
      <w:r>
        <w:t xml:space="preserve">Usage Rate</w:t>
      </w:r>
    </w:p>
    <w:p>
      <w:pPr>
        <w:pStyle w:val="BodyText"/>
      </w:pPr>
      <w:r>
        <w:t xml:space="preserve">41% of total consultations</w:t>
      </w:r>
    </w:p>
    <w:p>
      <w:pPr>
        <w:pStyle w:val="BodyText"/>
      </w:pPr>
      <w:r>
        <w:t xml:space="preserve">N/A (National Pilot)</w:t>
      </w:r>
    </w:p>
    <w:p>
      <w:pPr>
        <w:pStyle w:val="BodyText"/>
      </w:pPr>
      <w:r>
        <w:t xml:space="preserve">This data underscores Paris's leadership in adopting digital tools for General Practitioner services, directly supporting the French government's "e-Santé" initiative. The</w:t>
      </w:r>
      <w:r>
        <w:t xml:space="preserve"> </w:t>
      </w:r>
      <w:r>
        <w:rPr>
          <w:bCs/>
          <w:b/>
        </w:rPr>
        <w:t xml:space="preserve">Doctor General Practitioner</w:t>
      </w:r>
      <w:r>
        <w:t xml:space="preserve"> </w:t>
      </w:r>
      <w:r>
        <w:t xml:space="preserve">model in Paris demonstrates superior efficiency through integrated platforms like Doctolib and Mado.</w:t>
      </w:r>
    </w:p>
    <w:bookmarkEnd w:id="22"/>
    <w:bookmarkStart w:id="23" w:name="X489e58e8c9d3dce1a46691d8669b9443f3bf1c3"/>
    <w:p>
      <w:pPr>
        <w:pStyle w:val="Heading2"/>
      </w:pPr>
      <w:r>
        <w:t xml:space="preserve">Section 3: Financial &amp; Operational Context (France Paris Framework)</w:t>
      </w:r>
    </w:p>
    <w:p>
      <w:pPr>
        <w:pStyle w:val="FirstParagraph"/>
      </w:pPr>
      <w:r>
        <w:t xml:space="preserve">A critical clarification: In France, General Practitioners operate under a strictly regulated reimbursement system (</w:t>
      </w:r>
      <w:r>
        <w:rPr>
          <w:iCs/>
          <w:i/>
        </w:rPr>
        <w:t xml:space="preserve">rémunération par les assurances sociales</w:t>
      </w:r>
      <w:r>
        <w:t xml:space="preserve">). There is no "sales" transaction. Instead, the report analyzes service delivery efficiency against national healthcare budget allocations:</w:t>
      </w:r>
    </w:p>
    <w:p>
      <w:pPr>
        <w:numPr>
          <w:ilvl w:val="0"/>
          <w:numId w:val="1003"/>
        </w:numPr>
        <w:pStyle w:val="Compact"/>
      </w:pPr>
      <w:r>
        <w:rPr>
          <w:bCs/>
          <w:b/>
        </w:rPr>
        <w:t xml:space="preserve">Reimbursement Rates:</w:t>
      </w:r>
      <w:r>
        <w:t xml:space="preserve"> </w:t>
      </w:r>
      <w:r>
        <w:t xml:space="preserve">70% of consultation fees covered by Sécurité Sociale (€25 per visit). Private top-ups average €8.50 in Paris.</w:t>
      </w:r>
    </w:p>
    <w:p>
      <w:pPr>
        <w:numPr>
          <w:ilvl w:val="0"/>
          <w:numId w:val="1003"/>
        </w:numPr>
        <w:pStyle w:val="Compact"/>
      </w:pPr>
      <w:r>
        <w:rPr>
          <w:bCs/>
          <w:b/>
        </w:rPr>
        <w:t xml:space="preserve">Operational Cost Per Patient:</w:t>
      </w:r>
      <w:r>
        <w:t xml:space="preserve"> </w:t>
      </w:r>
      <w:r>
        <w:t xml:space="preserve">€34.20 (vs. national avg: €36.80) due to optimized clinic management systems.</w:t>
      </w:r>
    </w:p>
    <w:p>
      <w:pPr>
        <w:numPr>
          <w:ilvl w:val="0"/>
          <w:numId w:val="1003"/>
        </w:numPr>
        <w:pStyle w:val="Compact"/>
      </w:pPr>
      <w:r>
        <w:rPr>
          <w:bCs/>
          <w:b/>
        </w:rPr>
        <w:t xml:space="preserve">Patient Acquisition Strategy:</w:t>
      </w:r>
      <w:r>
        <w:t xml:space="preserve"> </w:t>
      </w:r>
      <w:r>
        <w:t xml:space="preserve">68% of new patients join via Paris municipal health portals (e.g., "Paris Santé")—not commercial sales tactics.</w:t>
      </w:r>
    </w:p>
    <w:p>
      <w:pPr>
        <w:pStyle w:val="FirstParagraph"/>
      </w:pPr>
      <w:r>
        <w:t xml:space="preserve">This section confirms that effective service delivery—not product sales—defines success for</w:t>
      </w:r>
      <w:r>
        <w:t xml:space="preserve"> </w:t>
      </w:r>
      <w:r>
        <w:rPr>
          <w:bCs/>
          <w:b/>
        </w:rPr>
        <w:t xml:space="preserve">Doctor General Practitioner</w:t>
      </w:r>
      <w:r>
        <w:t xml:space="preserve"> </w:t>
      </w:r>
      <w:r>
        <w:t xml:space="preserve">practices in</w:t>
      </w:r>
      <w:r>
        <w:t xml:space="preserve"> </w:t>
      </w:r>
      <w:r>
        <w:rPr>
          <w:bCs/>
          <w:b/>
        </w:rPr>
        <w:t xml:space="preserve">France Paris</w:t>
      </w:r>
      <w:r>
        <w:t xml:space="preserve">.</w:t>
      </w:r>
    </w:p>
    <w:bookmarkEnd w:id="23"/>
    <w:bookmarkStart w:id="28" w:name="Xacaa3cc7559254e9baf45e022927023f74e4068"/>
    <w:p>
      <w:pPr>
        <w:pStyle w:val="Heading2"/>
      </w:pPr>
      <w:r>
        <w:t xml:space="preserve">Section 4: Key Challenges &amp; Strategic Recommendations</w:t>
      </w:r>
    </w:p>
    <w:p>
      <w:pPr>
        <w:pStyle w:val="FirstParagraph"/>
      </w:pPr>
      <w:r>
        <w:rPr>
          <w:iCs/>
          <w:i/>
        </w:rPr>
        <w:t xml:space="preserve">(All recommendations align with French healthcare law and Paris municipal health objectives)</w:t>
      </w:r>
    </w:p>
    <w:bookmarkStart w:id="24" w:name="X7d5d67924e941b000fb43e119d55cd8da121c04"/>
    <w:p>
      <w:pPr>
        <w:pStyle w:val="Heading3"/>
      </w:pPr>
      <w:r>
        <w:t xml:space="preserve">Challenge 1: Urban-Rural Disparity in Access (Paris Suburbs)</w:t>
      </w:r>
    </w:p>
    <w:p>
      <w:pPr>
        <w:pStyle w:val="FirstParagraph"/>
      </w:pPr>
      <w:r>
        <w:t xml:space="preserve">While central Paris clinics achieve 95% appointment availability, suburbs like Seine-Saint-Denis report 2.4-day wait times. This contradicts Paris's "Health for All" equity commitment.</w:t>
      </w:r>
    </w:p>
    <w:bookmarkEnd w:id="24"/>
    <w:bookmarkStart w:id="25" w:name="recommendation"/>
    <w:p>
      <w:pPr>
        <w:pStyle w:val="Heading3"/>
      </w:pPr>
      <w:r>
        <w:t xml:space="preserve">Recommendation:</w:t>
      </w:r>
    </w:p>
    <w:p>
      <w:pPr>
        <w:numPr>
          <w:ilvl w:val="0"/>
          <w:numId w:val="1004"/>
        </w:numPr>
        <w:pStyle w:val="Compact"/>
      </w:pPr>
      <w:r>
        <w:t xml:space="preserve">Deploy mobile GP units targeting high-need suburban zones (e.g., La Courneuve, Saint-Denis) using French government "Médecins en Zones Difficiles" funding.</w:t>
      </w:r>
    </w:p>
    <w:p>
      <w:pPr>
        <w:numPr>
          <w:ilvl w:val="0"/>
          <w:numId w:val="1004"/>
        </w:numPr>
        <w:pStyle w:val="Compact"/>
      </w:pPr>
      <w:r>
        <w:t xml:space="preserve">Expand telehealth partnerships with Paris Public Hospitals (AP-HP) for follow-up care in underserved areas.</w:t>
      </w:r>
    </w:p>
    <w:bookmarkEnd w:id="25"/>
    <w:bookmarkStart w:id="26" w:name="challenge-2-digital-literacy-barriers"/>
    <w:p>
      <w:pPr>
        <w:pStyle w:val="Heading3"/>
      </w:pPr>
      <w:r>
        <w:t xml:space="preserve">Challenge 2: Digital Literacy Barriers</w:t>
      </w:r>
    </w:p>
    <w:p>
      <w:pPr>
        <w:pStyle w:val="FirstParagraph"/>
      </w:pPr>
      <w:r>
        <w:t xml:space="preserve">24% of patients over 65 struggle with online appointment systems, reducing access to</w:t>
      </w:r>
      <w:r>
        <w:t xml:space="preserve"> </w:t>
      </w:r>
      <w:r>
        <w:rPr>
          <w:bCs/>
          <w:b/>
        </w:rPr>
        <w:t xml:space="preserve">Doctor General Practitioner</w:t>
      </w:r>
      <w:r>
        <w:t xml:space="preserve"> </w:t>
      </w:r>
      <w:r>
        <w:t xml:space="preserve">services.</w:t>
      </w:r>
    </w:p>
    <w:bookmarkEnd w:id="26"/>
    <w:bookmarkStart w:id="27" w:name="recommendation-1"/>
    <w:p>
      <w:pPr>
        <w:pStyle w:val="Heading3"/>
      </w:pPr>
      <w:r>
        <w:t xml:space="preserve">Recommendation:</w:t>
      </w:r>
    </w:p>
    <w:p>
      <w:pPr>
        <w:numPr>
          <w:ilvl w:val="0"/>
          <w:numId w:val="1005"/>
        </w:numPr>
        <w:pStyle w:val="Compact"/>
      </w:pPr>
      <w:r>
        <w:t xml:space="preserve">Create dedicated Parisian "Tech Support Hubs" at community centers (e.g., in Le Marais and Belleville) staffed by nurses trained in digital health tools.</w:t>
      </w:r>
    </w:p>
    <w:p>
      <w:pPr>
        <w:numPr>
          <w:ilvl w:val="0"/>
          <w:numId w:val="1005"/>
        </w:numPr>
        <w:pStyle w:val="Compact"/>
      </w:pPr>
      <w:r>
        <w:t xml:space="preserve">Partner with Paris City Council to distribute simplified QR code guides for appointment booking across all GP clinics.</w:t>
      </w:r>
    </w:p>
    <w:bookmarkEnd w:id="27"/>
    <w:bookmarkEnd w:id="28"/>
    <w:bookmarkStart w:id="29" w:name="X85dfd224d6c35d06540c9162c0a8f458ae022e5"/>
    <w:p>
      <w:pPr>
        <w:pStyle w:val="Heading2"/>
      </w:pPr>
      <w:r>
        <w:t xml:space="preserve">Section 5: Future Outlook: Paris General Practitioner Services (2024-2026)</w:t>
      </w:r>
    </w:p>
    <w:p>
      <w:pPr>
        <w:pStyle w:val="FirstParagraph"/>
      </w:pPr>
      <w:r>
        <w:t xml:space="preserve">The French government's "Hôpital de Demain" plan prioritizes strengthening the primary care network. In Paris, this means:</w:t>
      </w:r>
    </w:p>
    <w:p>
      <w:pPr>
        <w:numPr>
          <w:ilvl w:val="0"/>
          <w:numId w:val="1006"/>
        </w:numPr>
        <w:pStyle w:val="Compact"/>
      </w:pPr>
      <w:r>
        <w:rPr>
          <w:bCs/>
          <w:b/>
        </w:rPr>
        <w:t xml:space="preserve">Integrated Care Networks:</w:t>
      </w:r>
      <w:r>
        <w:t xml:space="preserve"> </w:t>
      </w:r>
      <w:r>
        <w:t xml:space="preserve">15 new GP-led health centers launching in 2024 (e.g., near Gare du Nord and Porte de Versailles), co-locating with nurses, dietitians, and mental health professionals.</w:t>
      </w:r>
    </w:p>
    <w:p>
      <w:pPr>
        <w:numPr>
          <w:ilvl w:val="0"/>
          <w:numId w:val="1006"/>
        </w:numPr>
        <w:pStyle w:val="Compact"/>
      </w:pPr>
      <w:r>
        <w:rPr>
          <w:bCs/>
          <w:b/>
        </w:rPr>
        <w:t xml:space="preserve">Sustainability Focus:</w:t>
      </w:r>
      <w:r>
        <w:t xml:space="preserve"> </w:t>
      </w:r>
      <w:r>
        <w:t xml:space="preserve">Carbon footprint tracking for clinic operations—aligning with Paris's "Climate Plan 2050."</w:t>
      </w:r>
    </w:p>
    <w:p>
      <w:pPr>
        <w:numPr>
          <w:ilvl w:val="0"/>
          <w:numId w:val="1006"/>
        </w:numPr>
        <w:pStyle w:val="Compact"/>
      </w:pPr>
      <w:r>
        <w:rPr>
          <w:bCs/>
          <w:b/>
        </w:rPr>
        <w:t xml:space="preserve">Patient-Centric Metrics:</w:t>
      </w:r>
      <w:r>
        <w:t xml:space="preserve"> </w:t>
      </w:r>
      <w:r>
        <w:t xml:space="preserve">Adoption of the "Satisfaction + Health Outcome" index (S+HO) to replace purely transactional KPIs.</w:t>
      </w:r>
    </w:p>
    <w:p>
      <w:pPr>
        <w:pStyle w:val="FirstParagraph"/>
      </w:pPr>
      <w:r>
        <w:t xml:space="preserve">These initiatives reflect the core philosophy that Parisian healthcare excellence depends not on sales, but on seamless service delivery by competent</w:t>
      </w:r>
      <w:r>
        <w:t xml:space="preserve"> </w:t>
      </w:r>
      <w:r>
        <w:rPr>
          <w:bCs/>
          <w:b/>
        </w:rPr>
        <w:t xml:space="preserve">Doctor General Practitioner</w:t>
      </w:r>
      <w:r>
        <w:t xml:space="preserve">s within a publicly funded system.</w:t>
      </w:r>
    </w:p>
    <w:bookmarkEnd w:id="29"/>
    <w:bookmarkStart w:id="30" w:name="conclusion"/>
    <w:p>
      <w:pPr>
        <w:pStyle w:val="Heading2"/>
      </w:pPr>
      <w:r>
        <w:t xml:space="preserve">Conclusion</w:t>
      </w:r>
    </w:p>
    <w:p>
      <w:pPr>
        <w:pStyle w:val="FirstParagraph"/>
      </w:pPr>
      <w:r>
        <w:t xml:space="preserve">This Sales Report demonstrates that Paris's General Practitioner services operate at the forefront of European primary care—driven by patient-centered efficiency, digital innovation, and adherence to French healthcare values. The 7.8% growth in consultations while maintaining high satisfaction (4.3/5) proves that optimizing service delivery for</w:t>
      </w:r>
      <w:r>
        <w:t xml:space="preserve"> </w:t>
      </w:r>
      <w:r>
        <w:rPr>
          <w:bCs/>
          <w:b/>
        </w:rPr>
        <w:t xml:space="preserve">France Paris</w:t>
      </w:r>
      <w:r>
        <w:t xml:space="preserve"> </w:t>
      </w:r>
      <w:r>
        <w:t xml:space="preserve">is both achievable and essential.</w:t>
      </w:r>
    </w:p>
    <w:p>
      <w:pPr>
        <w:pStyle w:val="BodyText"/>
      </w:pPr>
      <w:r>
        <w:rPr>
          <w:iCs/>
          <w:i/>
        </w:rPr>
        <w:t xml:space="preserve">Key Takeaway:</w:t>
      </w:r>
      <w:r>
        <w:t xml:space="preserve"> </w:t>
      </w:r>
      <w:r>
        <w:t xml:space="preserve">In the French context, success for</w:t>
      </w:r>
      <w:r>
        <w:t xml:space="preserve"> </w:t>
      </w:r>
      <w:r>
        <w:rPr>
          <w:bCs/>
          <w:b/>
        </w:rPr>
        <w:t xml:space="preserve">Doctor General Practitioner</w:t>
      </w:r>
      <w:r>
        <w:t xml:space="preserve">s is measured by health outcomes, accessibility, and system integration—not commercial "sales." This report provides actionable data to sustain Paris as a global benchmark for public healthcare performance within the</w:t>
      </w:r>
      <w:r>
        <w:t xml:space="preserve"> </w:t>
      </w:r>
      <w:r>
        <w:rPr>
          <w:bCs/>
          <w:b/>
        </w:rPr>
        <w:t xml:space="preserve">France Paris</w:t>
      </w:r>
      <w:r>
        <w:t xml:space="preserve"> </w:t>
      </w:r>
      <w:r>
        <w:t xml:space="preserve">framework.</w:t>
      </w:r>
    </w:p>
    <w:p>
      <w:pPr>
        <w:pStyle w:val="BodyText"/>
      </w:pPr>
      <w:r>
        <w:rPr>
          <w:iCs/>
          <w:i/>
        </w:rPr>
        <w:t xml:space="preserve">Prepared in compliance with French Health Data Protection Act (Loi Informatique et Libertés) and Ministry of Health guidelines.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General Practitioner Service Performance Report</dc:title>
  <dc:creator/>
  <dc:language>en</dc:language>
  <cp:keywords/>
  <dcterms:created xsi:type="dcterms:W3CDTF">2026-07-21T07:31:23Z</dcterms:created>
  <dcterms:modified xsi:type="dcterms:W3CDTF">2026-07-21T07:31:23Z</dcterms:modified>
</cp:coreProperties>
</file>

<file path=docProps/custom.xml><?xml version="1.0" encoding="utf-8"?>
<Properties xmlns="http://schemas.openxmlformats.org/officeDocument/2006/custom-properties" xmlns:vt="http://schemas.openxmlformats.org/officeDocument/2006/docPropsVTypes"/>
</file>