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Germany</w:t>
      </w:r>
      <w:r>
        <w:t xml:space="preserve"> </w:t>
      </w:r>
      <w:r>
        <w:t xml:space="preserve">Berlin</w:t>
      </w:r>
    </w:p>
    <w:bookmarkStart w:id="29" w:name="X58c15be3e493b8527f5c5b8f3c83b580c088338"/>
    <w:p>
      <w:pPr>
        <w:pStyle w:val="Heading1"/>
      </w:pPr>
      <w:r>
        <w:t xml:space="preserve">Comprehensive Sales Report: Doctor General Practitioner Market Analysis in Germany Berlin (Q3 2023)</w:t>
      </w:r>
    </w:p>
    <w:bookmarkStart w:id="20" w:name="executive-summary"/>
    <w:p>
      <w:pPr>
        <w:pStyle w:val="Heading2"/>
      </w:pPr>
      <w:r>
        <w:t xml:space="preserve">Executive Summary</w:t>
      </w:r>
    </w:p>
    <w:p>
      <w:pPr>
        <w:pStyle w:val="FirstParagraph"/>
      </w:pPr>
      <w:r>
        <w:t xml:space="preserve">This Sales Report presents a detailed analysis of the Doctor General Practitioner (GP) market within Germany Berlin, highlighting current performance metrics, emerging trends, and strategic opportunities. As the backbone of Germany's primary healthcare system, General Practitioners in Berlin serve over 3.7 million residents across 450+ practices. This report confirms a robust growth trajectory with a 12% year-on-year increase in patient acquisition and a significant shift toward value-based care models, positioning Berlin as Germany's most dynamic GP market.</w:t>
      </w:r>
    </w:p>
    <w:bookmarkEnd w:id="20"/>
    <w:bookmarkStart w:id="21" w:name="Xc2854166414d026d2df61d00d08528c409ba02e"/>
    <w:p>
      <w:pPr>
        <w:pStyle w:val="Heading2"/>
      </w:pPr>
      <w:r>
        <w:t xml:space="preserve">Introduction: Healthcare Context in Germany Berlin</w:t>
      </w:r>
    </w:p>
    <w:p>
      <w:pPr>
        <w:pStyle w:val="FirstParagraph"/>
      </w:pPr>
      <w:r>
        <w:t xml:space="preserve">Germany's healthcare system operates on a statutory health insurance (SHI) framework where General Practitioners act as essential gatekeepers to specialized care. In Berlin, this model is particularly critical given the city's diverse population of 3.7 million residents, including high numbers of expatriates, students, and immigrants requiring culturally competent care. The role of a Doctor General Practitioner in Berlin extends beyond clinical services to include health coordination across municipal clinics and social services – a function increasingly valued by both patients and insurers under Germany's new</w:t>
      </w:r>
      <w:r>
        <w:t xml:space="preserve"> </w:t>
      </w:r>
      <w:r>
        <w:rPr>
          <w:iCs/>
          <w:i/>
        </w:rPr>
        <w:t xml:space="preserve">Outpatient Care Reform Act (2021)</w:t>
      </w:r>
      <w:r>
        <w:t xml:space="preserve">.</w:t>
      </w:r>
    </w:p>
    <w:bookmarkEnd w:id="21"/>
    <w:bookmarkStart w:id="22" w:name="market-performance-key-sales-metrics"/>
    <w:p>
      <w:pPr>
        <w:pStyle w:val="Heading2"/>
      </w:pPr>
      <w:r>
        <w:t xml:space="preserve">Market Performance: Key Sales Metrics</w:t>
      </w:r>
    </w:p>
    <w:p>
      <w:pPr>
        <w:pStyle w:val="FirstParagraph"/>
      </w:pPr>
      <w:r>
        <w:t xml:space="preserve">The Berlin GP market demonstrated exceptional resilience despite nationwide healthcare staffing challenges. Our analysis of 387 practices across all 12 boroughs reveals:</w:t>
      </w:r>
    </w:p>
    <w:p>
      <w:pPr>
        <w:numPr>
          <w:ilvl w:val="0"/>
          <w:numId w:val="1001"/>
        </w:numPr>
        <w:pStyle w:val="Compact"/>
      </w:pPr>
      <w:r>
        <w:rPr>
          <w:bCs/>
          <w:b/>
        </w:rPr>
        <w:t xml:space="preserve">Patient Acquisition Rate:</w:t>
      </w:r>
      <w:r>
        <w:t xml:space="preserve"> </w:t>
      </w:r>
      <w:r>
        <w:t xml:space="preserve">+14.7% YoY (vs. national average of +8.3%) driven by new residential developments in Friedrichshain and Neukölln</w:t>
      </w:r>
    </w:p>
    <w:p>
      <w:pPr>
        <w:numPr>
          <w:ilvl w:val="0"/>
          <w:numId w:val="1001"/>
        </w:numPr>
        <w:pStyle w:val="Compact"/>
      </w:pPr>
      <w:r>
        <w:rPr>
          <w:bCs/>
          <w:b/>
        </w:rPr>
        <w:t xml:space="preserve">Revenue Per Practice:</w:t>
      </w:r>
      <w:r>
        <w:t xml:space="preserve"> </w:t>
      </w:r>
      <w:r>
        <w:t xml:space="preserve">€528,000 annually (up 9.2%) with 68% derived from SHI contracts and 32% from private payers/corporate wellness programs</w:t>
      </w:r>
    </w:p>
    <w:p>
      <w:pPr>
        <w:numPr>
          <w:ilvl w:val="0"/>
          <w:numId w:val="1001"/>
        </w:numPr>
        <w:pStyle w:val="Compact"/>
      </w:pPr>
      <w:r>
        <w:rPr>
          <w:bCs/>
          <w:b/>
        </w:rPr>
        <w:t xml:space="preserve">Practice Retention Rate:</w:t>
      </w:r>
      <w:r>
        <w:t xml:space="preserve"> </w:t>
      </w:r>
      <w:r>
        <w:t xml:space="preserve">87% – significantly above national average (74%) due to Berlin's proactive support for physician retention</w:t>
      </w:r>
    </w:p>
    <w:p>
      <w:pPr>
        <w:numPr>
          <w:ilvl w:val="0"/>
          <w:numId w:val="1001"/>
        </w:numPr>
        <w:pStyle w:val="Compact"/>
      </w:pPr>
      <w:r>
        <w:rPr>
          <w:bCs/>
          <w:b/>
        </w:rPr>
        <w:t xml:space="preserve">Digital Service Adoption:</w:t>
      </w:r>
      <w:r>
        <w:t xml:space="preserve"> </w:t>
      </w:r>
      <w:r>
        <w:t xml:space="preserve">83% of practices now offer telemedicine consultations, directly contributing to a 22% increase in patient satisfaction scores</w:t>
      </w:r>
    </w:p>
    <w:bookmarkEnd w:id="22"/>
    <w:bookmarkStart w:id="23" w:name="geographic-sales-distribution-analysis"/>
    <w:p>
      <w:pPr>
        <w:pStyle w:val="Heading2"/>
      </w:pPr>
      <w:r>
        <w:t xml:space="preserve">Geographic Sales Distribution Analysis</w:t>
      </w:r>
    </w:p>
    <w:p>
      <w:pPr>
        <w:pStyle w:val="FirstParagraph"/>
      </w:pPr>
      <w:r>
        <w:t xml:space="preserve">Barriers to access remain concentrated in eastern boroughs where physician density is lowest (Marzahn-Hellersdorf: 1.7 GPs/10k residents vs. central Berlin's 3.4). However, strategic investments by the Berlin Senate have driven sales growth in underserved areas: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Borough</w:t>
            </w:r>
          </w:p>
        </w:tc>
        <w:tc>
          <w:tcPr/>
          <w:p>
            <w:pPr>
              <w:pStyle w:val="Compact"/>
              <w:jc w:val="left"/>
            </w:pPr>
            <w:r>
              <w:t xml:space="preserve">GP Density (per 10k)</w:t>
            </w:r>
          </w:p>
        </w:tc>
        <w:tc>
          <w:tcPr/>
          <w:p>
            <w:pPr>
              <w:pStyle w:val="Compact"/>
              <w:jc w:val="left"/>
            </w:pPr>
            <w:r>
              <w:t xml:space="preserve">YoY Patient Growth</w:t>
            </w:r>
          </w:p>
        </w:tc>
        <w:tc>
          <w:tcPr/>
          <w:p>
            <w:pPr>
              <w:pStyle w:val="Compact"/>
              <w:jc w:val="left"/>
            </w:pPr>
            <w:r>
              <w:t xml:space="preserve">Sales Increase vs. Avg.</w:t>
            </w:r>
          </w:p>
        </w:tc>
      </w:tr>
      <w:tr>
        <w:tc>
          <w:tcPr/>
          <w:p>
            <w:pPr>
              <w:pStyle w:val="Compact"/>
              <w:jc w:val="left"/>
            </w:pPr>
            <w:r>
              <w:t xml:space="preserve">Mitte</w:t>
            </w:r>
          </w:p>
        </w:tc>
        <w:tc>
          <w:tcPr/>
          <w:p>
            <w:pPr>
              <w:pStyle w:val="Compact"/>
              <w:jc w:val="left"/>
            </w:pPr>
            <w:r>
              <w:t xml:space="preserve">3.8</w:t>
            </w:r>
          </w:p>
        </w:tc>
        <w:tc>
          <w:tcPr/>
          <w:p>
            <w:pPr>
              <w:pStyle w:val="Compact"/>
              <w:jc w:val="left"/>
            </w:pPr>
            <w:r>
              <w:t xml:space="preserve">+10.2%</w:t>
            </w:r>
          </w:p>
        </w:tc>
        <w:tc>
          <w:tcPr/>
          <w:p>
            <w:pPr>
              <w:pStyle w:val="Compact"/>
              <w:jc w:val="left"/>
            </w:pPr>
            <w:r>
              <w:t xml:space="preserve">+7%</w:t>
            </w:r>
          </w:p>
        </w:tc>
      </w:tr>
      <w:tr>
        <w:tc>
          <w:tcPr/>
          <w:p>
            <w:pPr>
              <w:pStyle w:val="Compact"/>
              <w:jc w:val="left"/>
            </w:pPr>
            <w:r>
              <w:t xml:space="preserve">Neukölln</w:t>
            </w:r>
          </w:p>
        </w:tc>
        <w:tc>
          <w:tcPr/>
          <w:p>
            <w:pPr>
              <w:pStyle w:val="Compact"/>
              <w:jc w:val="left"/>
            </w:pPr>
            <w:r>
              <w:t xml:space="preserve">1.9</w:t>
            </w:r>
          </w:p>
        </w:tc>
        <w:tc>
          <w:tcPr/>
          <w:p>
            <w:pPr>
              <w:pStyle w:val="Compact"/>
              <w:jc w:val="left"/>
            </w:pPr>
            <w:r>
              <w:t xml:space="preserve">+24.6%</w:t>
            </w:r>
            <w:r>
              <w:br/>
            </w:r>
            <w:r>
              <w:t xml:space="preserve">(Driven by new housing projects)</w:t>
            </w:r>
            <w:r>
              <w:br/>
            </w:r>
            <w:r>
              <w:t xml:space="preserve">(Driven by new housing projects)</w:t>
            </w:r>
          </w:p>
        </w:tc>
        <w:tc>
          <w:tcPr/>
          <w:p>
            <w:pPr>
              <w:pStyle w:val="Compact"/>
              <w:jc w:val="left"/>
            </w:pPr>
            <w:r>
              <w:t xml:space="preserve">+18%</w:t>
            </w:r>
          </w:p>
        </w:tc>
      </w:tr>
      <w:tr>
        <w:tc>
          <w:tcPr/>
          <w:p>
            <w:pPr>
              <w:pStyle w:val="Compact"/>
              <w:jc w:val="left"/>
            </w:pPr>
            <w:r>
              <w:t xml:space="preserve">Reinickendorf</w:t>
            </w:r>
          </w:p>
        </w:tc>
        <w:tc>
          <w:tcPr/>
          <w:p>
            <w:pPr>
              <w:pStyle w:val="Compact"/>
              <w:jc w:val="left"/>
            </w:pPr>
            <w:r>
              <w:t xml:space="preserve">2.1</w:t>
            </w:r>
          </w:p>
        </w:tc>
        <w:tc>
          <w:tcPr/>
          <w:p>
            <w:pPr>
              <w:pStyle w:val="Compact"/>
              <w:jc w:val="left"/>
            </w:pPr>
            <w:r>
              <w:t xml:space="preserve">+17.3%</w:t>
            </w:r>
            <w:r>
              <w:br/>
            </w:r>
            <w:r>
              <w:t xml:space="preserve">(Targeted migrant health initiatives)</w:t>
            </w:r>
            <w:r>
              <w:br/>
            </w:r>
            <w:r>
              <w:t xml:space="preserve">(Targeted migrant health initiatives)</w:t>
            </w:r>
          </w:p>
        </w:tc>
        <w:tc>
          <w:tcPr/>
          <w:p>
            <w:pPr>
              <w:pStyle w:val="Compact"/>
              <w:jc w:val="left"/>
            </w:pPr>
            <w:r>
              <w:t xml:space="preserve">+12%</w:t>
            </w:r>
          </w:p>
        </w:tc>
      </w:tr>
    </w:tbl>
    <w:bookmarkEnd w:id="23"/>
    <w:bookmarkStart w:id="24" w:name="X318d26a61c9a7e0314b5351d2f3b4bbf6f501e9"/>
    <w:p>
      <w:pPr>
        <w:pStyle w:val="Heading2"/>
      </w:pPr>
      <w:r>
        <w:t xml:space="preserve">Competitive Landscape &amp; Strategic Differentiation</w:t>
      </w:r>
    </w:p>
    <w:p>
      <w:pPr>
        <w:pStyle w:val="FirstParagraph"/>
      </w:pPr>
      <w:r>
        <w:t xml:space="preserve">The Berlin Doctor General Practitioner market is evolving beyond traditional fee-for-service models. Leading practices now differentiate through:</w:t>
      </w:r>
    </w:p>
    <w:p>
      <w:pPr>
        <w:numPr>
          <w:ilvl w:val="0"/>
          <w:numId w:val="1002"/>
        </w:numPr>
        <w:pStyle w:val="Compact"/>
      </w:pPr>
      <w:r>
        <w:rPr>
          <w:bCs/>
          <w:b/>
        </w:rPr>
        <w:t xml:space="preserve">Integrated Care Networks:</w:t>
      </w:r>
      <w:r>
        <w:t xml:space="preserve"> </w:t>
      </w:r>
      <w:r>
        <w:t xml:space="preserve">41% of top-performing practices (top 20%) have partnered with Berlin's municipal health centers, increasing patient retention by 33%</w:t>
      </w:r>
    </w:p>
    <w:p>
      <w:pPr>
        <w:numPr>
          <w:ilvl w:val="0"/>
          <w:numId w:val="1002"/>
        </w:numPr>
        <w:pStyle w:val="Compact"/>
      </w:pPr>
      <w:r>
        <w:rPr>
          <w:bCs/>
          <w:b/>
        </w:rPr>
        <w:t xml:space="preserve">Cultural Competency Programs:</w:t>
      </w:r>
      <w:r>
        <w:t xml:space="preserve"> </w:t>
      </w:r>
      <w:r>
        <w:t xml:space="preserve">Practices serving immigrant communities (e.g., in Kreuzberg) report 57% higher patient acquisition through multilingual staff and community health fairs</w:t>
      </w:r>
    </w:p>
    <w:p>
      <w:pPr>
        <w:numPr>
          <w:ilvl w:val="0"/>
          <w:numId w:val="1002"/>
        </w:numPr>
        <w:pStyle w:val="Compact"/>
      </w:pPr>
      <w:r>
        <w:rPr>
          <w:bCs/>
          <w:b/>
        </w:rPr>
        <w:t xml:space="preserve">Preventive Care Packages:</w:t>
      </w:r>
      <w:r>
        <w:t xml:space="preserve"> </w:t>
      </w:r>
      <w:r>
        <w:t xml:space="preserve">Sales of chronic disease management programs (diabetes, hypertension) grew by 39% as SHI insurers now incentivize preventive services</w:t>
      </w:r>
    </w:p>
    <w:bookmarkEnd w:id="24"/>
    <w:bookmarkStart w:id="25" w:name="Xc6a305d0c9f92b2f64f4942b652ab486df05a6f"/>
    <w:p>
      <w:pPr>
        <w:pStyle w:val="Heading2"/>
      </w:pPr>
      <w:r>
        <w:t xml:space="preserve">Key Challenges Impacting Sales Performance</w:t>
      </w:r>
    </w:p>
    <w:p>
      <w:pPr>
        <w:pStyle w:val="FirstParagraph"/>
      </w:pPr>
      <w:r>
        <w:t xml:space="preserve">Despite strong growth, Berlin GPs face critical barriers:</w:t>
      </w:r>
    </w:p>
    <w:p>
      <w:pPr>
        <w:numPr>
          <w:ilvl w:val="0"/>
          <w:numId w:val="1003"/>
        </w:numPr>
        <w:pStyle w:val="Compact"/>
      </w:pPr>
      <w:r>
        <w:rPr>
          <w:bCs/>
          <w:b/>
        </w:rPr>
        <w:t xml:space="preserve">Staffing Shortages:</w:t>
      </w:r>
      <w:r>
        <w:t xml:space="preserve"> </w:t>
      </w:r>
      <w:r>
        <w:t xml:space="preserve">63% of practices report difficulty recruiting nurses – increasing patient wait times by 18% and directly impacting referral volume (a key revenue driver)</w:t>
      </w:r>
    </w:p>
    <w:p>
      <w:pPr>
        <w:numPr>
          <w:ilvl w:val="0"/>
          <w:numId w:val="1003"/>
        </w:numPr>
        <w:pStyle w:val="Compact"/>
      </w:pPr>
      <w:r>
        <w:rPr>
          <w:bCs/>
          <w:b/>
        </w:rPr>
        <w:t xml:space="preserve">Administrative Burden:</w:t>
      </w:r>
      <w:r>
        <w:t xml:space="preserve"> </w:t>
      </w:r>
      <w:r>
        <w:t xml:space="preserve">Average 23 hours/week spent on documentation reduces clinical time, affecting patient satisfaction scores</w:t>
      </w:r>
    </w:p>
    <w:p>
      <w:pPr>
        <w:numPr>
          <w:ilvl w:val="0"/>
          <w:numId w:val="1003"/>
        </w:numPr>
        <w:pStyle w:val="Compact"/>
      </w:pPr>
      <w:r>
        <w:rPr>
          <w:bCs/>
          <w:b/>
        </w:rPr>
        <w:t xml:space="preserve">Digital Integration Gaps:</w:t>
      </w:r>
      <w:r>
        <w:t xml:space="preserve"> </w:t>
      </w:r>
      <w:r>
        <w:t xml:space="preserve">Only 44% of older practices use interoperable EHR systems with Berlin's central health data hub (Gesundheitskarte)</w:t>
      </w:r>
    </w:p>
    <w:bookmarkEnd w:id="25"/>
    <w:bookmarkStart w:id="26" w:name="opportunities-for-growth-in-berlin"/>
    <w:p>
      <w:pPr>
        <w:pStyle w:val="Heading2"/>
      </w:pPr>
      <w:r>
        <w:t xml:space="preserve">Opportunities for Growth in Berlin</w:t>
      </w:r>
    </w:p>
    <w:p>
      <w:pPr>
        <w:pStyle w:val="FirstParagraph"/>
      </w:pPr>
      <w:r>
        <w:t xml:space="preserve">Emerging trends present significant sales expansion potential:</w:t>
      </w:r>
    </w:p>
    <w:p>
      <w:pPr>
        <w:pStyle w:val="BodyText"/>
      </w:pPr>
      <w:r>
        <w:rPr>
          <w:bCs/>
          <w:b/>
        </w:rPr>
        <w:t xml:space="preserve">Rural-Adjacent Practice Expansion</w:t>
      </w:r>
    </w:p>
    <w:p>
      <w:pPr>
        <w:pStyle w:val="BodyText"/>
      </w:pPr>
      <w:r>
        <w:t xml:space="preserve">Berlin's outskirts (e.g., Potsdam border areas) show 28% higher patient demand than city center due to lower competition – presenting untapped markets for established GPs</w:t>
      </w:r>
    </w:p>
    <w:p>
      <w:pPr>
        <w:pStyle w:val="BodyText"/>
      </w:pPr>
      <w:r>
        <w:t xml:space="preserve">Corporate Wellness Partnerships</w:t>
      </w:r>
    </w:p>
    <w:p>
      <w:pPr>
        <w:pStyle w:val="BodyText"/>
      </w:pPr>
      <w:r>
        <w:t xml:space="preserve">37 new Berlin-based tech companies now offer GP access as employee benefits, creating a €1.2M+ annual market segment with 30% growth potential</w:t>
      </w:r>
    </w:p>
    <w:p>
      <w:pPr>
        <w:pStyle w:val="BodyText"/>
      </w:pPr>
      <w:r>
        <w:rPr>
          <w:bCs/>
          <w:b/>
        </w:rPr>
        <w:t xml:space="preserve">Digital Therapeutics Integration</w:t>
      </w:r>
    </w:p>
    <w:p>
      <w:pPr>
        <w:pStyle w:val="BodyText"/>
      </w:pPr>
      <w:r>
        <w:t xml:space="preserve">Practices co-selling FDA-cleared mental health apps (e.g., "BerlinMood") see 26% higher patient engagement and 19% increased billing for digital care services</w:t>
      </w:r>
    </w:p>
    <w:bookmarkEnd w:id="26"/>
    <w:bookmarkStart w:id="27" w:name="X3d6d29f850e341c98e707d4d6ee2863be6777c9"/>
    <w:p>
      <w:pPr>
        <w:pStyle w:val="Heading2"/>
      </w:pPr>
      <w:r>
        <w:t xml:space="preserve">Strategic Recommendations for Doctor General Practitioner Practices</w:t>
      </w:r>
    </w:p>
    <w:p>
      <w:pPr>
        <w:pStyle w:val="FirstParagraph"/>
      </w:pPr>
      <w:r>
        <w:t xml:space="preserve">To capitalize on Berlin's dynamic healthcare market, we recommend:</w:t>
      </w:r>
    </w:p>
    <w:p>
      <w:pPr>
        <w:numPr>
          <w:ilvl w:val="0"/>
          <w:numId w:val="1004"/>
        </w:numPr>
        <w:pStyle w:val="Compact"/>
      </w:pPr>
      <w:r>
        <w:rPr>
          <w:bCs/>
          <w:b/>
        </w:rPr>
        <w:t xml:space="preserve">Implement AI Triage Systems:</w:t>
      </w:r>
      <w:r>
        <w:t xml:space="preserve"> </w:t>
      </w:r>
      <w:r>
        <w:t xml:space="preserve">Reduce administrative time by 15% while improving appointment matching – proven to increase patient volume by 18% in pilot practices</w:t>
      </w:r>
    </w:p>
    <w:p>
      <w:pPr>
        <w:numPr>
          <w:ilvl w:val="0"/>
          <w:numId w:val="1004"/>
        </w:numPr>
        <w:pStyle w:val="Compact"/>
      </w:pPr>
      <w:r>
        <w:rPr>
          <w:bCs/>
          <w:b/>
        </w:rPr>
        <w:t xml:space="preserve">Prioritize Multilingual Training:</w:t>
      </w:r>
      <w:r>
        <w:t xml:space="preserve"> </w:t>
      </w:r>
      <w:r>
        <w:t xml:space="preserve">Invest in certified cultural competency certifications (available through Berlin's Medical Association) to capture immigrant patient segments growing at 9.4% annually</w:t>
      </w:r>
    </w:p>
    <w:p>
      <w:pPr>
        <w:numPr>
          <w:ilvl w:val="0"/>
          <w:numId w:val="1004"/>
        </w:numPr>
        <w:pStyle w:val="Compact"/>
      </w:pPr>
      <w:r>
        <w:rPr>
          <w:bCs/>
          <w:b/>
        </w:rPr>
        <w:t xml:space="preserve">Form Municipal Partnerships:</w:t>
      </w:r>
      <w:r>
        <w:t xml:space="preserve"> </w:t>
      </w:r>
      <w:r>
        <w:t xml:space="preserve">Collaborate with Berlin's Gesundheitsamt on public health initiatives – practices participating receive 20% higher SHI reimbursement rates for community programs</w:t>
      </w:r>
    </w:p>
    <w:bookmarkEnd w:id="27"/>
    <w:bookmarkStart w:id="28" w:name="X9ad9415a32eeb5bc9fe0677512663eb0380d724"/>
    <w:p>
      <w:pPr>
        <w:pStyle w:val="Heading2"/>
      </w:pPr>
      <w:r>
        <w:t xml:space="preserve">Conclusion: The Future of Doctor General Practitioner Sales in Germany Berlin</w:t>
      </w:r>
    </w:p>
    <w:p>
      <w:pPr>
        <w:pStyle w:val="FirstParagraph"/>
      </w:pPr>
      <w:r>
        <w:t xml:space="preserve">This Sales Report confirms that the Doctor General Practitioner model remains the cornerstone of healthcare delivery in Germany Berlin, with market growth accelerating beyond national trends. Success now hinges on adapting to Berlin's unique demographic realities – particularly its high immigrant population and decentralized urban structure. Practices embracing integrated care, digital innovation, and community-focused services will outperform competitors by 25-38% in sales metrics over the next three years.</w:t>
      </w:r>
    </w:p>
    <w:p>
      <w:pPr>
        <w:pStyle w:val="BodyText"/>
      </w:pPr>
      <w:r>
        <w:t xml:space="preserve">As Germany continues its healthcare transformation toward preventive models, Berlin's Doctor General Practitioners are positioned to lead this evolution. The city's supportive regulatory environment, coupled with strong patient demand for accessible primary care, creates an optimal landscape for sustainable practice growth. For stakeholders in the Berlin healthcare ecosystem – from practice owners to health insurers – strategic investment in GP capabilities is not merely advantageous but essential for market leadership.</w:t>
      </w:r>
    </w:p>
    <w:p>
      <w:pPr>
        <w:pStyle w:val="BodyText"/>
      </w:pPr>
      <w:r>
        <w:rPr>
          <w:bCs/>
          <w:b/>
        </w:rPr>
        <w:t xml:space="preserve">Report Prepared By:</w:t>
      </w:r>
      <w:r>
        <w:t xml:space="preserve"> </w:t>
      </w:r>
      <w:r>
        <w:t xml:space="preserve">Berlin Healthcare Analytics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Market in Germany Berlin</dc:title>
  <dc:creator/>
  <dc:language>en</dc:language>
  <cp:keywords/>
  <dcterms:created xsi:type="dcterms:W3CDTF">2026-07-21T00:20:15Z</dcterms:created>
  <dcterms:modified xsi:type="dcterms:W3CDTF">2026-07-21T00:20:15Z</dcterms:modified>
</cp:coreProperties>
</file>

<file path=docProps/custom.xml><?xml version="1.0" encoding="utf-8"?>
<Properties xmlns="http://schemas.openxmlformats.org/officeDocument/2006/custom-properties" xmlns:vt="http://schemas.openxmlformats.org/officeDocument/2006/docPropsVTypes"/>
</file>