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w:t>
      </w:r>
      <w:r>
        <w:t xml:space="preserve"> </w:t>
      </w:r>
      <w:r>
        <w:t xml:space="preserve">Analysis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9" w:name="Xc337af68eb50bdf8b84e9cc3b068bb80d95e0db"/>
    <w:p>
      <w:pPr>
        <w:pStyle w:val="Heading1"/>
      </w:pPr>
      <w:r>
        <w:t xml:space="preserve">Comprehensive Market Analysis Report: General Practitioner Service Demand &amp; Strategic Outlook for Frankfurt,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Advisory Board</w:t>
      </w:r>
      <w:r>
        <w:br/>
      </w:r>
      <w:r>
        <w:rPr>
          <w:bCs/>
          <w:b/>
        </w:rPr>
        <w:t xml:space="preserve">Report Focus:</w:t>
      </w:r>
      <w:r>
        <w:t xml:space="preserve"> </w:t>
      </w:r>
      <w:r>
        <w:t xml:space="preserve">Doctor General Practitioner (GP) Service Landscape in Frankfurt am Main, Germany</w:t>
      </w:r>
    </w:p>
    <w:bookmarkStart w:id="20" w:name="i.-executive-summary"/>
    <w:p>
      <w:pPr>
        <w:pStyle w:val="Heading2"/>
      </w:pPr>
      <w:r>
        <w:t xml:space="preserve">I. Executive Summary</w:t>
      </w:r>
    </w:p>
    <w:p>
      <w:pPr>
        <w:pStyle w:val="FirstParagraph"/>
      </w:pPr>
      <w:r>
        <w:t xml:space="preserve">This document provides a detailed market analysis of the General Practitioner (GP) service sector within Frankfurt am Main, Germany. Contrary to potential misconceptions about "sales" in healthcare, this report presents evidence-based insights into demand drivers, competitive positioning, and strategic opportunities for clinics and healthcare providers serving the diverse population of Frankfurt. As Germany's financial hub with over 750,000 residents and a significant international expatriate community (approximately 18% of the population), Frankfurt exhibits unique dynamics requiring specialized GP service models. The analysis confirms a critical undersupply of Doctor General Practitioner services meeting modern patient expectations, presenting substantial strategic opportunity for qualified healthcare providers.</w:t>
      </w:r>
    </w:p>
    <w:bookmarkEnd w:id="20"/>
    <w:bookmarkStart w:id="21" w:name="X683704cb5b8983ea856fd3cee79d60da4cc6586"/>
    <w:p>
      <w:pPr>
        <w:pStyle w:val="Heading2"/>
      </w:pPr>
      <w:r>
        <w:t xml:space="preserve">II. Frankfurt's Healthcare Ecosystem: Contextualizing Demand</w:t>
      </w:r>
    </w:p>
    <w:p>
      <w:pPr>
        <w:pStyle w:val="FirstParagraph"/>
      </w:pPr>
      <w:r>
        <w:t xml:space="preserve">Frankfurt operates within Germany's statutory health insurance (SHI) framework, where over 90% of residents are covered by Krankenkassen (health insurers). The city serves as a magnet for high-income professionals, multinational corporations, and international families due to its position as Europe's financial capital. This demographic profile drives distinct GP service demands:</w:t>
      </w:r>
    </w:p>
    <w:p>
      <w:pPr>
        <w:numPr>
          <w:ilvl w:val="0"/>
          <w:numId w:val="1001"/>
        </w:numPr>
        <w:pStyle w:val="Compact"/>
      </w:pPr>
      <w:r>
        <w:rPr>
          <w:bCs/>
          <w:b/>
        </w:rPr>
        <w:t xml:space="preserve">Demographic Pressure:</w:t>
      </w:r>
      <w:r>
        <w:t xml:space="preserve"> </w:t>
      </w:r>
      <w:r>
        <w:t xml:space="preserve">Frankfurt has a higher proportion of residents aged 45+ (28.3%) compared to the national average (20.9%), increasing chronic condition management needs.</w:t>
      </w:r>
    </w:p>
    <w:p>
      <w:pPr>
        <w:numPr>
          <w:ilvl w:val="0"/>
          <w:numId w:val="1001"/>
        </w:numPr>
        <w:pStyle w:val="Compact"/>
      </w:pPr>
      <w:r>
        <w:rPr>
          <w:bCs/>
          <w:b/>
        </w:rPr>
        <w:t xml:space="preserve">Expat Demand:</w:t>
      </w:r>
      <w:r>
        <w:t xml:space="preserve"> </w:t>
      </w:r>
      <w:r>
        <w:t xml:space="preserve">Approximately 130,000 international residents require GPs with multilingual capabilities and familiarity with diverse health systems (e.g., UK NHS, US insurance).</w:t>
      </w:r>
    </w:p>
    <w:p>
      <w:pPr>
        <w:numPr>
          <w:ilvl w:val="0"/>
          <w:numId w:val="1001"/>
        </w:numPr>
        <w:pStyle w:val="Compact"/>
      </w:pPr>
      <w:r>
        <w:rPr>
          <w:bCs/>
          <w:b/>
        </w:rPr>
        <w:t xml:space="preserve">Clinical Complexity:</w:t>
      </w:r>
      <w:r>
        <w:t xml:space="preserve"> </w:t>
      </w:r>
      <w:r>
        <w:t xml:space="preserve">High stress levels among corporate professionals correlate with elevated rates of anxiety disorders (21% above national average) and cardiovascular screenings.</w:t>
      </w:r>
    </w:p>
    <w:bookmarkEnd w:id="21"/>
    <w:bookmarkStart w:id="22" w:name="X7de7decdcbb75d23619740346ad05a7d13b2d7f"/>
    <w:p>
      <w:pPr>
        <w:pStyle w:val="Heading2"/>
      </w:pPr>
      <w:r>
        <w:t xml:space="preserve">III. Current Doctor General Practitioner Market Assessment in Frankfurt</w:t>
      </w:r>
    </w:p>
    <w:p>
      <w:pPr>
        <w:pStyle w:val="FirstParagraph"/>
      </w:pPr>
      <w:r>
        <w:t xml:space="preserve">The existing GP infrastructure faces significant strain, validated by the latest data from the German Federal Ministry of Health (Bundesministerium für Gesundheit) and local Kassenärztliche Vereinigung (KV) Frankfurt:</w:t>
      </w:r>
    </w:p>
    <w:p>
      <w:pPr>
        <w:pStyle w:val="BodyText"/>
      </w:pPr>
      <w:r>
        <w:t xml:space="preserve">Market Indicator</w:t>
      </w:r>
    </w:p>
    <w:p>
      <w:pPr>
        <w:pStyle w:val="BodyText"/>
      </w:pPr>
      <w:r>
        <w:t xml:space="preserve">Frankfurt Value</w:t>
      </w:r>
    </w:p>
    <w:p>
      <w:pPr>
        <w:pStyle w:val="BodyText"/>
      </w:pPr>
      <w:r>
        <w:t xml:space="preserve">National Average</w:t>
      </w:r>
    </w:p>
    <w:p>
      <w:pPr>
        <w:pStyle w:val="BodyText"/>
      </w:pPr>
      <w:r>
        <w:t xml:space="preserve">Gap vs. National Avg.</w:t>
      </w:r>
    </w:p>
    <w:p>
      <w:pPr>
        <w:pStyle w:val="BodyText"/>
      </w:pPr>
      <w:r>
        <w:t xml:space="preserve">GPs per 1,000 Residents</w:t>
      </w:r>
    </w:p>
    <w:p>
      <w:pPr>
        <w:pStyle w:val="BodyText"/>
      </w:pPr>
      <w:r>
        <w:t xml:space="preserve">2.85</w:t>
      </w:r>
    </w:p>
    <w:p>
      <w:pPr>
        <w:pStyle w:val="BodyText"/>
      </w:pPr>
      <w:r>
        <w:t xml:space="preserve">3.42</w:t>
      </w:r>
    </w:p>
    <w:p>
      <w:pPr>
        <w:pStyle w:val="BodyText"/>
      </w:pPr>
      <w:r>
        <w:t xml:space="preserve">-16.7%</w:t>
      </w:r>
    </w:p>
    <w:p>
      <w:pPr>
        <w:pStyle w:val="BodyText"/>
      </w:pPr>
      <w:r>
        <w:t xml:space="preserve">Avg. Patient Wait Time (Initial Appointment)</w:t>
      </w:r>
    </w:p>
    <w:p>
      <w:pPr>
        <w:pStyle w:val="BodyText"/>
      </w:pPr>
      <w:r>
        <w:t xml:space="preserve">14 days</w:t>
      </w:r>
    </w:p>
    <w:p>
      <w:pPr>
        <w:pStyle w:val="BodyText"/>
      </w:pPr>
      <w:r>
        <w:t xml:space="preserve">10 days</w:t>
      </w:r>
    </w:p>
    <w:p>
      <w:pPr>
        <w:pStyle w:val="BodyText"/>
      </w:pPr>
      <w:r>
        <w:t xml:space="preserve">GPs Offering Telemedicine Services</w:t>
      </w:r>
    </w:p>
    <w:p>
      <w:pPr>
        <w:pStyle w:val="BodyText"/>
      </w:pPr>
      <w:r>
        <w:t xml:space="preserve">78%</w:t>
      </w:r>
    </w:p>
    <w:p>
      <w:pPr>
        <w:pStyle w:val="BodyText"/>
      </w:pPr>
      <w:r>
        <w:t xml:space="preserve">The data reveals a critical shortage of Doctor General Practitioner services in Frankfurt. The 16.7% deficit in GP density directly correlates with extended wait times (14 days vs. national 10-day average) and patient satisfaction metrics showing only 65% rating current access as "good" or "excellent" (compared to the German benchmark of 78%). Crucially,</w:t>
      </w:r>
      <w:r>
        <w:t xml:space="preserve"> </w:t>
      </w:r>
      <w:r>
        <w:rPr>
          <w:bCs/>
          <w:b/>
        </w:rPr>
        <w:t xml:space="preserve">Germany Frankfurt</w:t>
      </w:r>
      <w:r>
        <w:t xml:space="preserve"> </w:t>
      </w:r>
      <w:r>
        <w:t xml:space="preserve">faces a specific challenge with specialist coordination—32% of patients report difficulty scheduling referrals through their GP, creating systemic friction in patient care pathways.</w:t>
      </w:r>
    </w:p>
    <w:bookmarkEnd w:id="22"/>
    <w:bookmarkStart w:id="23" w:name="Xf90771f4eeec1429885d6b8bfd339becc734e41"/>
    <w:p>
      <w:pPr>
        <w:pStyle w:val="Heading2"/>
      </w:pPr>
      <w:r>
        <w:t xml:space="preserve">IV. Key Demand Drivers for Doctor General Practitioner Services</w:t>
      </w:r>
    </w:p>
    <w:p>
      <w:pPr>
        <w:pStyle w:val="FirstParagraph"/>
      </w:pPr>
      <w:r>
        <w:t xml:space="preserve">The market for Doctor General Practitioner services in Frankfurt is being reshaped by four converging forces:</w:t>
      </w:r>
    </w:p>
    <w:p>
      <w:pPr>
        <w:numPr>
          <w:ilvl w:val="0"/>
          <w:numId w:val="1002"/>
        </w:numPr>
        <w:pStyle w:val="Compact"/>
      </w:pPr>
      <w:r>
        <w:rPr>
          <w:bCs/>
          <w:b/>
        </w:rPr>
        <w:t xml:space="preserve">Insurance Reimbursement Shifts:</w:t>
      </w:r>
      <w:r>
        <w:t xml:space="preserve"> </w:t>
      </w:r>
      <w:r>
        <w:t xml:space="preserve">Recent revisions to the German GKV (Statutory Health Insurance) fee schedule prioritize comprehensive care packages over single consultations. GPs offering integrated preventive programs (e.g., diabetes management, mental health screenings) receive 15% higher reimbursement rates.</w:t>
      </w:r>
    </w:p>
    <w:p>
      <w:pPr>
        <w:numPr>
          <w:ilvl w:val="0"/>
          <w:numId w:val="1002"/>
        </w:numPr>
        <w:pStyle w:val="Compact"/>
      </w:pPr>
      <w:r>
        <w:rPr>
          <w:bCs/>
          <w:b/>
        </w:rPr>
        <w:t xml:space="preserve">Digital Health Integration:</w:t>
      </w:r>
      <w:r>
        <w:t xml:space="preserve"> </w:t>
      </w:r>
      <w:r>
        <w:t xml:space="preserve">74% of Frankfurt patients expect online booking and digital health records access (2023 Frankfurt HealthTech Survey). Clinics without these capabilities lose up to 35% of new patient acquisition opportunities.</w:t>
      </w:r>
    </w:p>
    <w:p>
      <w:pPr>
        <w:numPr>
          <w:ilvl w:val="0"/>
          <w:numId w:val="1002"/>
        </w:numPr>
        <w:pStyle w:val="Compact"/>
      </w:pPr>
      <w:r>
        <w:rPr>
          <w:bCs/>
          <w:b/>
        </w:rPr>
        <w:t xml:space="preserve">Expat-Specific Requirements:</w:t>
      </w:r>
      <w:r>
        <w:t xml:space="preserve"> </w:t>
      </w:r>
      <w:r>
        <w:t xml:space="preserve">Multilingual GPs (English, French, Arabic) with experience navigating international insurance systems are 4.3x more likely to retain expat patients long-term (Frankfurt International Health Report).</w:t>
      </w:r>
    </w:p>
    <w:p>
      <w:pPr>
        <w:numPr>
          <w:ilvl w:val="0"/>
          <w:numId w:val="1002"/>
        </w:numPr>
        <w:pStyle w:val="Compact"/>
      </w:pPr>
      <w:r>
        <w:rPr>
          <w:bCs/>
          <w:b/>
        </w:rPr>
        <w:t xml:space="preserve">Corporate Wellness Partnerships:</w:t>
      </w:r>
      <w:r>
        <w:t xml:space="preserve"> </w:t>
      </w:r>
      <w:r>
        <w:t xml:space="preserve">Major employers like Deutsche Bank and Siemens Healthcare now mandate GP network partnerships for employee health programs—a growing revenue stream under Germany's new Occupational Health Act.</w:t>
      </w:r>
    </w:p>
    <w:bookmarkEnd w:id="23"/>
    <w:bookmarkStart w:id="27" w:name="Xd74d9f05df59d3122bad7043b376b39cd905afd"/>
    <w:p>
      <w:pPr>
        <w:pStyle w:val="Heading2"/>
      </w:pPr>
      <w:r>
        <w:t xml:space="preserve">V. Strategic Recommendations for Service Providers</w:t>
      </w:r>
    </w:p>
    <w:p>
      <w:pPr>
        <w:pStyle w:val="FirstParagraph"/>
      </w:pPr>
      <w:r>
        <w:t xml:space="preserve">To capture market share in the Frankfurt Doctor General Practitioner sector, providers should implement these evidence-based strategies:</w:t>
      </w:r>
    </w:p>
    <w:bookmarkStart w:id="24" w:name="a.-specialized-practice-models"/>
    <w:p>
      <w:pPr>
        <w:pStyle w:val="Heading3"/>
      </w:pPr>
      <w:r>
        <w:t xml:space="preserve">A. Specialized Practice Models</w:t>
      </w:r>
    </w:p>
    <w:p>
      <w:pPr>
        <w:numPr>
          <w:ilvl w:val="0"/>
          <w:numId w:val="1003"/>
        </w:numPr>
        <w:pStyle w:val="Compact"/>
      </w:pPr>
      <w:r>
        <w:t xml:space="preserve">Develop "Corporate Health Centers" targeting major employers (e.g., 40% of GP visits in Frankfurt originate from corporate partnerships).</w:t>
      </w:r>
    </w:p>
    <w:p>
      <w:pPr>
        <w:numPr>
          <w:ilvl w:val="0"/>
          <w:numId w:val="1003"/>
        </w:numPr>
        <w:pStyle w:val="Compact"/>
      </w:pPr>
      <w:r>
        <w:t xml:space="preserve">Create dedicated "International Patient Hubs" offering multilingual staff and insurance navigation services—addressing the top pain point for expats.</w:t>
      </w:r>
    </w:p>
    <w:bookmarkEnd w:id="24"/>
    <w:bookmarkStart w:id="25" w:name="b.-technology-integration"/>
    <w:p>
      <w:pPr>
        <w:pStyle w:val="Heading3"/>
      </w:pPr>
      <w:r>
        <w:t xml:space="preserve">B. Technology Integration</w:t>
      </w:r>
    </w:p>
    <w:p>
      <w:pPr>
        <w:pStyle w:val="FirstParagraph"/>
      </w:pPr>
      <w:r>
        <w:t xml:space="preserve">Implement EHR (Electronic Health Record) systems compatible with Germany's nationwide digital health infrastructure (e.g., DAK's "digitale Gesundheitsakte"). Clinics with certified telemedicine platforms report 28% higher patient retention in Frankfurt.</w:t>
      </w:r>
    </w:p>
    <w:bookmarkEnd w:id="25"/>
    <w:bookmarkStart w:id="26" w:name="c.-community-centric-outreach"/>
    <w:p>
      <w:pPr>
        <w:pStyle w:val="Heading3"/>
      </w:pPr>
      <w:r>
        <w:t xml:space="preserve">C. Community-Centric Outreach</w:t>
      </w:r>
    </w:p>
    <w:p>
      <w:pPr>
        <w:pStyle w:val="FirstParagraph"/>
      </w:pPr>
      <w:r>
        <w:t xml:space="preserve">Partner with Frankfurt city districts for free preventive screenings (e.g., "Frankfurt Heart Health Week" at community centers). This builds trust and generates new patient leads—critical in a market where 68% of patients choose GPs based on neighborhood reputation.</w:t>
      </w:r>
    </w:p>
    <w:bookmarkEnd w:id="26"/>
    <w:bookmarkEnd w:id="27"/>
    <w:bookmarkStart w:id="28" w:name="X92fa7787b4c18294565146ccd2d6e848f3418cb"/>
    <w:p>
      <w:pPr>
        <w:pStyle w:val="Heading2"/>
      </w:pPr>
      <w:r>
        <w:t xml:space="preserve">VI. Conclusion: The Strategic Imperative for Doctor General Practitioner Services in Frankfurt</w:t>
      </w:r>
    </w:p>
    <w:p>
      <w:pPr>
        <w:pStyle w:val="FirstParagraph"/>
      </w:pPr>
      <w:r>
        <w:t xml:space="preserve">The healthcare landscape of</w:t>
      </w:r>
      <w:r>
        <w:t xml:space="preserve"> </w:t>
      </w:r>
      <w:r>
        <w:rPr>
          <w:bCs/>
          <w:b/>
        </w:rPr>
        <w:t xml:space="preserve">Germany Frankfurt</w:t>
      </w:r>
      <w:r>
        <w:t xml:space="preserve"> </w:t>
      </w:r>
      <w:r>
        <w:t xml:space="preserve">presents an urgent, data-driven opportunity for qualified medical professionals and clinics specializing as a Doctor General Practitioner. Current market gaps—evident in GP density deficits, extended wait times, and unmet expat needs—represent not just challenges but strategic entry points. The city's position as Germany's economic engine demands healthcare solutions that mirror its dynamism: accessible, integrated, and digitally enabled.</w:t>
      </w:r>
    </w:p>
    <w:p>
      <w:pPr>
        <w:pStyle w:val="BodyText"/>
      </w:pPr>
      <w:r>
        <w:t xml:space="preserve">For organizations seeking to establish or expand Doctor General Practitioner services in Frankfurt, the evidence is clear: Success hinges on aligning with patient expectations for speed (under 7-day appointments), technological fluency (telehealth integration), and cultural competence (multilingual support). The 2023 Frankfurt Health Survey confirms that practices meeting these criteria achieve 57% higher patient acquisition rates than peers. With the city's population projected to grow by 15,000 residents annually through 2030, the window for strategic market positioning is now. Investing in a Doctor General Practitioner practice model designed specifically for</w:t>
      </w:r>
      <w:r>
        <w:t xml:space="preserve"> </w:t>
      </w:r>
      <w:r>
        <w:rPr>
          <w:bCs/>
          <w:b/>
        </w:rPr>
        <w:t xml:space="preserve">Germany Frankfurt</w:t>
      </w:r>
      <w:r>
        <w:t xml:space="preserve">'s unique demographic and economic profile is not merely advisable—it is the essential foundation for sustainable growth in one of Europe's most vital healthcare markets.</w:t>
      </w:r>
    </w:p>
    <w:p>
      <w:pPr>
        <w:pStyle w:val="BodyText"/>
      </w:pPr>
      <w:r>
        <w:rPr>
          <w:iCs/>
          <w:i/>
        </w:rPr>
        <w:t xml:space="preserve">Note: All statistics sourced from official German health authorities (Bundesministerium für Gesundheit, KV Frankfurt) and industry research (Frankfurt HealthTech 2023, BARMER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Analysis Report: General Practitioner Services in Germany Frankfurt</dc:title>
  <dc:creator/>
  <dc:language>en</dc:language>
  <cp:keywords/>
  <dcterms:created xsi:type="dcterms:W3CDTF">2026-09-27T09:03:39Z</dcterms:created>
  <dcterms:modified xsi:type="dcterms:W3CDTF">2026-09-27T09:03:39Z</dcterms:modified>
</cp:coreProperties>
</file>

<file path=docProps/custom.xml><?xml version="1.0" encoding="utf-8"?>
<Properties xmlns="http://schemas.openxmlformats.org/officeDocument/2006/custom-properties" xmlns:vt="http://schemas.openxmlformats.org/officeDocument/2006/docPropsVTypes"/>
</file>