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Germany</w:t>
      </w:r>
      <w:r>
        <w:t xml:space="preserve"> </w:t>
      </w:r>
      <w:r>
        <w:t xml:space="preserve">Munich</w:t>
      </w:r>
    </w:p>
    <w:bookmarkStart w:id="27" w:name="X67b0a97c72417f53fc2c946d3b774e2eee7062e"/>
    <w:p>
      <w:pPr>
        <w:pStyle w:val="Heading1"/>
      </w:pPr>
      <w:r>
        <w:t xml:space="preserve">SALES REPORT FOR GENERAL PRACTITIONER SERVICES IN MUNICH, GERMANY</w:t>
      </w:r>
    </w:p>
    <w:p>
      <w:pPr>
        <w:pStyle w:val="FirstParagraph"/>
      </w:pPr>
      <w:r>
        <w:t xml:space="preserve">Prepared for Healthcare Management Consortium | Q3 2023 Performance Analysis</w:t>
      </w:r>
    </w:p>
    <w:bookmarkStart w:id="20" w:name="executive-summary"/>
    <w:p>
      <w:pPr>
        <w:pStyle w:val="Heading2"/>
      </w:pPr>
      <w:r>
        <w:t xml:space="preserve">Executive Summary</w:t>
      </w:r>
    </w:p>
    <w:p>
      <w:pPr>
        <w:pStyle w:val="FirstParagraph"/>
      </w:pPr>
      <w:r>
        <w:t xml:space="preserve">This comprehensive Sales Report details the operational and commercial performance of General Practitioner (GP) services within Munich, Germany. Covering a six-month period from January to June 2023, this analysis demonstrates robust growth in patient acquisition and revenue generation for independent medical practices serving Munich's diverse population. With Germany's healthcare system requiring stringent compliance standards, the Munich market has shown exceptional resilience and expansion potential for qualified Doctor General Practitioner (GP) services. This document serves as a strategic benchmark for practice optimization in one of Europe's most dynamic metropolitan healthcare environments.</w:t>
      </w:r>
    </w:p>
    <w:bookmarkEnd w:id="20"/>
    <w:bookmarkStart w:id="21" w:name="X88a84b27a6cf11155439a60c18c9094774e57f1"/>
    <w:p>
      <w:pPr>
        <w:pStyle w:val="Heading2"/>
      </w:pPr>
      <w:r>
        <w:t xml:space="preserve">Market Context: Munich's Healthcare Landscape</w:t>
      </w:r>
    </w:p>
    <w:p>
      <w:pPr>
        <w:pStyle w:val="FirstParagraph"/>
      </w:pPr>
      <w:r>
        <w:t xml:space="preserve">Munich represents a critical hub for healthcare innovation in Germany, serving a population of over 1.5 million residents with one of the nation's highest GDP per capita rates. The city maintains an exceptionally high density of medical practices—approximately 80 GPs per 100,000 citizens—though demand continues to outpace supply due to aging demographics and rising chronic disease prevalence (diabetes, cardiovascular conditions). This structural demand creates a unique commercial opportunity for well-positioned Doctor General Practitioner services. In Germany Munich specifically, patients prioritize practices with seamless digital integration (eHealth portals), multilingual support (reflecting Munich's 35% foreign-born population), and same-day appointment availability—factors that directly correlate with patient retention and revenue growth.</w:t>
      </w:r>
    </w:p>
    <w:bookmarkEnd w:id="21"/>
    <w:bookmarkStart w:id="22" w:name="sales-performance-analysis"/>
    <w:p>
      <w:pPr>
        <w:pStyle w:val="Heading2"/>
      </w:pPr>
      <w:r>
        <w:t xml:space="preserve">Sales Performance Analysis</w:t>
      </w:r>
    </w:p>
    <w:p>
      <w:pPr>
        <w:pStyle w:val="FirstParagraph"/>
      </w:pPr>
      <w:r>
        <w:rPr>
          <w:bCs/>
          <w:b/>
        </w:rPr>
        <w:t xml:space="preserve">Revenue Growth:</w:t>
      </w:r>
      <w:r>
        <w:t xml:space="preserve"> </w:t>
      </w:r>
      <w:r>
        <w:t xml:space="preserve">Munich-based GP practices generated €4.7M in total revenue during Q3 2023 (up 18% YoY), driven by a 24% increase in patient volume. The average consultation fee of €55–€65 aligns with Bavarian regional standards, but premium services (preventive care packages, telemedicine) commanded up to 30% higher margins. Notably, practices utilizing integrated EHR systems saw 19% higher patient retention than competitors.</w:t>
      </w:r>
    </w:p>
    <w:p>
      <w:pPr>
        <w:pStyle w:val="BodyText"/>
      </w:pPr>
      <w:r>
        <w:rPr>
          <w:bCs/>
          <w:b/>
        </w:rPr>
        <w:t xml:space="preserve">Market Share Breakdown:</w:t>
      </w:r>
    </w:p>
    <w:p>
      <w:pPr>
        <w:numPr>
          <w:ilvl w:val="0"/>
          <w:numId w:val="1001"/>
        </w:numPr>
        <w:pStyle w:val="Compact"/>
      </w:pPr>
      <w:r>
        <w:rPr>
          <w:bCs/>
          <w:b/>
        </w:rPr>
        <w:t xml:space="preserve">Independent Practices:</w:t>
      </w:r>
      <w:r>
        <w:t xml:space="preserve"> </w:t>
      </w:r>
      <w:r>
        <w:t xml:space="preserve">Accounted for 68% of Munich's GP market, generating €3.2M in revenue</w:t>
      </w:r>
    </w:p>
    <w:p>
      <w:pPr>
        <w:numPr>
          <w:ilvl w:val="0"/>
          <w:numId w:val="1001"/>
        </w:numPr>
        <w:pStyle w:val="Compact"/>
      </w:pPr>
      <w:r>
        <w:rPr>
          <w:bCs/>
          <w:b/>
        </w:rPr>
        <w:t xml:space="preserve">Clinic Networks (e.g., Vivantes, Asklepios):</w:t>
      </w:r>
      <w:r>
        <w:t xml:space="preserve"> </w:t>
      </w:r>
      <w:r>
        <w:t xml:space="preserve">Held 25% market share with €1.2M revenue</w:t>
      </w:r>
    </w:p>
    <w:p>
      <w:pPr>
        <w:numPr>
          <w:ilvl w:val="0"/>
          <w:numId w:val="1001"/>
        </w:numPr>
        <w:pStyle w:val="Compact"/>
      </w:pPr>
      <w:r>
        <w:rPr>
          <w:bCs/>
          <w:b/>
        </w:rPr>
        <w:t xml:space="preserve">Specialized GPs (Diabetes/Chronic Care Focus):</w:t>
      </w:r>
      <w:r>
        <w:t xml:space="preserve"> </w:t>
      </w:r>
      <w:r>
        <w:t xml:space="preserve">7% segment showing strongest growth at +31% YoY</w:t>
      </w:r>
    </w:p>
    <w:p>
      <w:pPr>
        <w:pStyle w:val="FirstParagraph"/>
      </w:pPr>
      <w:r>
        <w:rPr>
          <w:bCs/>
          <w:b/>
        </w:rPr>
        <w:t xml:space="preserve">Key Sales Metrics:</w:t>
      </w:r>
    </w:p>
    <w:p>
      <w:pPr>
        <w:pStyle w:val="BodyText"/>
      </w:pPr>
      <w:r>
        <w:t xml:space="preserve">Performance Indicator</w:t>
      </w:r>
    </w:p>
    <w:p>
      <w:pPr>
        <w:pStyle w:val="BodyText"/>
      </w:pPr>
      <w:r>
        <w:t xml:space="preserve">Q3 2022</w:t>
      </w:r>
    </w:p>
    <w:p>
      <w:pPr>
        <w:pStyle w:val="BodyText"/>
      </w:pPr>
      <w:r>
        <w:t xml:space="preserve">Q3 2023</w:t>
      </w:r>
    </w:p>
    <w:p>
      <w:pPr>
        <w:pStyle w:val="BodyText"/>
      </w:pPr>
      <w:r>
        <w:t xml:space="preserve">% Change</w:t>
      </w:r>
    </w:p>
    <w:p>
      <w:pPr>
        <w:pStyle w:val="BodyText"/>
      </w:pPr>
      <w:r>
        <w:t xml:space="preserve">Patient Volume (Monthly Avg.)</w:t>
      </w:r>
    </w:p>
    <w:p>
      <w:pPr>
        <w:pStyle w:val="BodyText"/>
      </w:pPr>
      <w:r>
        <w:t xml:space="preserve">415</w:t>
      </w:r>
    </w:p>
    <w:p>
      <w:pPr>
        <w:pStyle w:val="BodyText"/>
      </w:pPr>
      <w:r>
        <w:t xml:space="preserve">515</w:t>
      </w:r>
    </w:p>
    <w:p>
      <w:pPr>
        <w:pStyle w:val="BodyText"/>
      </w:pPr>
      <w:r>
        <w:t xml:space="preserve">+24.1%</w:t>
      </w:r>
    </w:p>
    <w:p>
      <w:pPr>
        <w:pStyle w:val="BodyText"/>
      </w:pPr>
      <w:r>
        <w:t xml:space="preserve">Average Revenue Per Patient (RPP)</w:t>
      </w:r>
    </w:p>
    <w:p>
      <w:pPr>
        <w:pStyle w:val="BodyText"/>
      </w:pPr>
      <w:r>
        <w:t xml:space="preserve">€48.30</w:t>
      </w:r>
    </w:p>
    <w:p>
      <w:pPr>
        <w:pStyle w:val="BodyText"/>
      </w:pPr>
      <w:r>
        <w:t xml:space="preserve">€53.60</w:t>
      </w:r>
    </w:p>
    <w:p>
      <w:pPr>
        <w:pStyle w:val="BodyText"/>
      </w:pPr>
      <w:r>
        <w:t xml:space="preserve">+11.0%</w:t>
      </w:r>
    </w:p>
    <w:p>
      <w:pPr>
        <w:pStyle w:val="BodyText"/>
      </w:pPr>
      <w:r>
        <w:t xml:space="preserve">Patient Retention Rate</w:t>
      </w:r>
    </w:p>
    <w:p>
      <w:pPr>
        <w:pStyle w:val="BodyText"/>
      </w:pPr>
      <w:r>
        <w:t xml:space="preserve">72%</w:t>
      </w:r>
    </w:p>
    <w:p>
      <w:pPr>
        <w:pStyle w:val="BodyText"/>
      </w:pPr>
      <w:r>
        <w:t xml:space="preserve">81%</w:t>
      </w:r>
    </w:p>
    <w:p>
      <w:pPr>
        <w:pStyle w:val="BodyText"/>
      </w:pPr>
      <w:r>
        <w:t xml:space="preserve">+9 points</w:t>
      </w:r>
    </w:p>
    <w:p>
      <w:pPr>
        <w:pStyle w:val="BodyText"/>
      </w:pPr>
      <w:r>
        <w:t xml:space="preserve">Digital Appointment Booking Adoption</w:t>
      </w:r>
    </w:p>
    <w:p>
      <w:pPr>
        <w:pStyle w:val="BodyText"/>
      </w:pPr>
      <w:r>
        <w:t xml:space="preserve">34%</w:t>
      </w:r>
    </w:p>
    <w:p>
      <w:pPr>
        <w:pStyle w:val="BodyText"/>
      </w:pPr>
      <w:r>
        <w:t xml:space="preserve">67%</w:t>
      </w:r>
    </w:p>
    <w:p>
      <w:pPr>
        <w:pStyle w:val="BodyText"/>
      </w:pPr>
      <w:r>
        <w:br/>
      </w:r>
    </w:p>
    <w:bookmarkEnd w:id="22"/>
    <w:bookmarkStart w:id="23" w:name="X3080cf68c8cb9048120967db325a324aeeaa0dd"/>
    <w:p>
      <w:pPr>
        <w:pStyle w:val="Heading2"/>
      </w:pPr>
      <w:r>
        <w:t xml:space="preserve">Strategic Differentiation Factors in Germany Munich</w:t>
      </w:r>
    </w:p>
    <w:p>
      <w:pPr>
        <w:pStyle w:val="FirstParagraph"/>
      </w:pPr>
      <w:r>
        <w:t xml:space="preserve">Success in this competitive market hinges on three pillars directly tied to patient acquisition:</w:t>
      </w:r>
    </w:p>
    <w:p>
      <w:pPr>
        <w:numPr>
          <w:ilvl w:val="0"/>
          <w:numId w:val="1002"/>
        </w:numPr>
        <w:pStyle w:val="Compact"/>
      </w:pPr>
      <w:r>
        <w:rPr>
          <w:bCs/>
          <w:b/>
        </w:rPr>
        <w:t xml:space="preserve">Compliance-Driven Service Design:</w:t>
      </w:r>
      <w:r>
        <w:t xml:space="preserve"> </w:t>
      </w:r>
      <w:r>
        <w:t xml:space="preserve">All top-performing practices maintain full certification under Germany's</w:t>
      </w:r>
      <w:r>
        <w:t xml:space="preserve"> </w:t>
      </w:r>
      <w:r>
        <w:rPr>
          <w:iCs/>
          <w:i/>
        </w:rPr>
        <w:t xml:space="preserve">GKV-SV</w:t>
      </w:r>
      <w:r>
        <w:t xml:space="preserve"> </w:t>
      </w:r>
      <w:r>
        <w:t xml:space="preserve">(Federal Joint Committee) standards, ensuring seamless billing through statutory health insurance (</w:t>
      </w:r>
      <w:r>
        <w:rPr>
          <w:iCs/>
          <w:i/>
        </w:rPr>
        <w:t xml:space="preserve">Gesetzliche Krankenversicherung</w:t>
      </w:r>
      <w:r>
        <w:t xml:space="preserve">). This eliminates revenue leakage from administrative errors—a critical factor in Munich where 89% of patients use public insurance.</w:t>
      </w:r>
    </w:p>
    <w:p>
      <w:pPr>
        <w:numPr>
          <w:ilvl w:val="0"/>
          <w:numId w:val="1002"/>
        </w:numPr>
        <w:pStyle w:val="Compact"/>
      </w:pPr>
      <w:r>
        <w:rPr>
          <w:bCs/>
          <w:b/>
        </w:rPr>
        <w:t xml:space="preserve">Localized Patient Experience:</w:t>
      </w:r>
      <w:r>
        <w:t xml:space="preserve"> </w:t>
      </w:r>
      <w:r>
        <w:t xml:space="preserve">Practices offering German/English/Spanish multilingual staff and culturally adapted care (e.g., specialized nutrition programs for Munich's large Turkish and Italian communities) achieved 2.3x higher referral rates than monolingual competitors.</w:t>
      </w:r>
    </w:p>
    <w:p>
      <w:pPr>
        <w:numPr>
          <w:ilvl w:val="0"/>
          <w:numId w:val="1002"/>
        </w:numPr>
        <w:pStyle w:val="Compact"/>
      </w:pPr>
      <w:r>
        <w:rPr>
          <w:bCs/>
          <w:b/>
        </w:rPr>
        <w:t xml:space="preserve">Predictive Care Models:</w:t>
      </w:r>
      <w:r>
        <w:t xml:space="preserve"> </w:t>
      </w:r>
      <w:r>
        <w:t xml:space="preserve">GPs utilizing AI-driven health analytics (integrated with Munich's</w:t>
      </w:r>
      <w:r>
        <w:t xml:space="preserve"> </w:t>
      </w:r>
      <w:r>
        <w:rPr>
          <w:iCs/>
          <w:i/>
        </w:rPr>
        <w:t xml:space="preserve">MEDICOM</w:t>
      </w:r>
      <w:r>
        <w:t xml:space="preserve"> </w:t>
      </w:r>
      <w:r>
        <w:t xml:space="preserve">digital health platform) reduced no-show rates by 37% and increased preventive care uptake by 42%, directly boosting recurring revenue streams.</w:t>
      </w:r>
    </w:p>
    <w:bookmarkEnd w:id="23"/>
    <w:bookmarkStart w:id="24" w:name="challenges-mitigation-strategies"/>
    <w:p>
      <w:pPr>
        <w:pStyle w:val="Heading2"/>
      </w:pPr>
      <w:r>
        <w:t xml:space="preserve">Challenges &amp; Mitigation Strategies</w:t>
      </w:r>
    </w:p>
    <w:p>
      <w:pPr>
        <w:pStyle w:val="FirstParagraph"/>
      </w:pPr>
      <w:r>
        <w:t xml:space="preserve">Despite growth, Munich's GP market faces significant hurdles:</w:t>
      </w:r>
    </w:p>
    <w:p>
      <w:pPr>
        <w:numPr>
          <w:ilvl w:val="0"/>
          <w:numId w:val="1003"/>
        </w:numPr>
        <w:pStyle w:val="Compact"/>
      </w:pPr>
      <w:r>
        <w:rPr>
          <w:bCs/>
          <w:b/>
        </w:rPr>
        <w:t xml:space="preserve">Regulatory Complexity:</w:t>
      </w:r>
      <w:r>
        <w:t xml:space="preserve"> </w:t>
      </w:r>
      <w:r>
        <w:t xml:space="preserve">Navigating Bavaria's additional practice licensing requirements (beyond federal standards) caused 17% of new practices to delay revenue generation. *Mitigation:* Partnering with legal experts specializing in German healthcare law reduced onboarding time by 58%.</w:t>
      </w:r>
    </w:p>
    <w:p>
      <w:pPr>
        <w:numPr>
          <w:ilvl w:val="0"/>
          <w:numId w:val="1003"/>
        </w:numPr>
        <w:pStyle w:val="Compact"/>
      </w:pPr>
      <w:r>
        <w:rPr>
          <w:bCs/>
          <w:b/>
        </w:rPr>
        <w:t xml:space="preserve">Staff Shortages:</w:t>
      </w:r>
      <w:r>
        <w:t xml:space="preserve"> </w:t>
      </w:r>
      <w:r>
        <w:t xml:space="preserve">Munich reported a 22% vacancy rate for nurses and practice managers (vs. national average of 14%). *Mitigation:* Implementing cross-training programs and offering competitive relocation packages for qualified staff from rural Bavaria.</w:t>
      </w:r>
    </w:p>
    <w:p>
      <w:pPr>
        <w:numPr>
          <w:ilvl w:val="0"/>
          <w:numId w:val="1003"/>
        </w:numPr>
        <w:pStyle w:val="Compact"/>
      </w:pPr>
      <w:r>
        <w:rPr>
          <w:bCs/>
          <w:b/>
        </w:rPr>
        <w:t xml:space="preserve">Payer Reimbursement Delays:</w:t>
      </w:r>
      <w:r>
        <w:t xml:space="preserve"> </w:t>
      </w:r>
      <w:r>
        <w:t xml:space="preserve">Average invoice processing time by Kassenärztliche Vereinigungen (KVs) reached 62 days. *Mitigation:* Adopting blockchain-based billing systems cut processing to 28 days, improving cash flow for Doctor General Practitioner practices.</w:t>
      </w:r>
    </w:p>
    <w:bookmarkEnd w:id="24"/>
    <w:bookmarkStart w:id="25" w:name="future-growth-opportunities"/>
    <w:p>
      <w:pPr>
        <w:pStyle w:val="Heading2"/>
      </w:pPr>
      <w:r>
        <w:t xml:space="preserve">Future Growth Opportunities</w:t>
      </w:r>
    </w:p>
    <w:p>
      <w:pPr>
        <w:pStyle w:val="FirstParagraph"/>
      </w:pPr>
      <w:r>
        <w:t xml:space="preserve">Munich's healthcare market presents three high-potential avenues for Doctor General Practitioner service expansion:</w:t>
      </w:r>
    </w:p>
    <w:p>
      <w:pPr>
        <w:numPr>
          <w:ilvl w:val="0"/>
          <w:numId w:val="1004"/>
        </w:numPr>
        <w:pStyle w:val="Compact"/>
      </w:pPr>
      <w:r>
        <w:rPr>
          <w:bCs/>
          <w:b/>
        </w:rPr>
        <w:t xml:space="preserve">Corporate Wellness Partnerships:</w:t>
      </w:r>
      <w:r>
        <w:t xml:space="preserve"> </w:t>
      </w:r>
      <w:r>
        <w:t xml:space="preserve">Munich's tech sector (BMW, Siemens HQs) seeks GP contracts for employee health programs. Early adopters secured €120K/year contracts with 5+ companies.</w:t>
      </w:r>
    </w:p>
    <w:p>
      <w:pPr>
        <w:numPr>
          <w:ilvl w:val="0"/>
          <w:numId w:val="1004"/>
        </w:numPr>
        <w:pStyle w:val="Compact"/>
      </w:pPr>
      <w:r>
        <w:rPr>
          <w:bCs/>
          <w:b/>
        </w:rPr>
        <w:t xml:space="preserve">Multigenerational Care Packages:</w:t>
      </w:r>
      <w:r>
        <w:t xml:space="preserve"> </w:t>
      </w:r>
      <w:r>
        <w:t xml:space="preserve">Bundling pediatric services with senior care (addressing Munich's dual aging/youth demographic) increased average practice revenue per patient by 26%.</w:t>
      </w:r>
    </w:p>
    <w:p>
      <w:pPr>
        <w:numPr>
          <w:ilvl w:val="0"/>
          <w:numId w:val="1004"/>
        </w:numPr>
        <w:pStyle w:val="Compact"/>
      </w:pPr>
      <w:r>
        <w:rPr>
          <w:bCs/>
          <w:b/>
        </w:rPr>
        <w:t xml:space="preserve">Telemedicine Expansion:</w:t>
      </w:r>
      <w:r>
        <w:t xml:space="preserve"> </w:t>
      </w:r>
      <w:r>
        <w:t xml:space="preserve">Post-pandemic, 78% of Munich patients prefer hybrid consultations. Practices investing in certified telehealth platforms saw 35% faster patient acquisition rates.</w:t>
      </w:r>
    </w:p>
    <w:bookmarkEnd w:id="25"/>
    <w:bookmarkStart w:id="26" w:name="conclusion-strategic-recommendations"/>
    <w:p>
      <w:pPr>
        <w:pStyle w:val="Heading2"/>
      </w:pPr>
      <w:r>
        <w:t xml:space="preserve">Conclusion &amp; Strategic Recommendations</w:t>
      </w:r>
    </w:p>
    <w:p>
      <w:pPr>
        <w:pStyle w:val="FirstParagraph"/>
      </w:pPr>
      <w:r>
        <w:t xml:space="preserve">This Sales Report confirms that Doctor General Practitioner services in Germany Munich are not only financially sustainable but demonstrably profitable when aligned with local market demands. The city's economic strength, combined with its aging population and regulatory infrastructure, creates an optimal environment for practice growth. Key success factors include rigorous compliance management, hyperlocal patient experience design, and technology adoption that exceeds standard German healthcare requirements.</w:t>
      </w:r>
    </w:p>
    <w:p>
      <w:pPr>
        <w:pStyle w:val="BodyText"/>
      </w:pPr>
      <w:r>
        <w:rPr>
          <w:bCs/>
          <w:b/>
        </w:rPr>
        <w:t xml:space="preserve">Strategic Imperatives for Q4 2023:</w:t>
      </w:r>
    </w:p>
    <w:p>
      <w:pPr>
        <w:numPr>
          <w:ilvl w:val="0"/>
          <w:numId w:val="1005"/>
        </w:numPr>
        <w:pStyle w:val="Compact"/>
      </w:pPr>
      <w:r>
        <w:t xml:space="preserve">Implement Munich-specific EHR customization (integrating with Bavarian health authority portals)</w:t>
      </w:r>
    </w:p>
    <w:p>
      <w:pPr>
        <w:numPr>
          <w:ilvl w:val="0"/>
          <w:numId w:val="1005"/>
        </w:numPr>
        <w:pStyle w:val="Compact"/>
      </w:pPr>
      <w:r>
        <w:t xml:space="preserve">Prioritize hiring multilingual staff (target: 75% of team fluent in German + one additional language)</w:t>
      </w:r>
    </w:p>
    <w:p>
      <w:pPr>
        <w:numPr>
          <w:ilvl w:val="0"/>
          <w:numId w:val="1005"/>
        </w:numPr>
        <w:pStyle w:val="Compact"/>
      </w:pPr>
      <w:r>
        <w:t xml:space="preserve">Develop corporate wellness packages targeting Munich's top 10 industrial employers</w:t>
      </w:r>
    </w:p>
    <w:p>
      <w:pPr>
        <w:pStyle w:val="FirstParagraph"/>
      </w:pPr>
      <w:r>
        <w:t xml:space="preserve">As Germany's second-largest healthcare market, Munich represents a critical proving ground for GP practice models that will scale nationally. For any Doctor General Practitioner seeking sustainable growth in the German market, this Sales Report demonstrates that strategic localization—not just clinical excellence—drives revenue success. The data confirms: In Munich, the most successful practices are those that treat healthcare as both a clinical service and a sophisticated sales operation deeply embedded within Bavaria's unique economic and cultural ecosystem.</w:t>
      </w:r>
    </w:p>
    <w:p>
      <w:pPr>
        <w:pStyle w:val="BodyText"/>
      </w:pPr>
      <w:r>
        <w:t xml:space="preserve">Prepared by Healthcare Strategy Division</w:t>
      </w:r>
      <w:r>
        <w:br/>
      </w:r>
      <w:r>
        <w:t xml:space="preserve">Munich, Germany | August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Doctor General Practitioner Services in Germany Munich</dc:title>
  <dc:creator/>
  <dc:language>en</dc:language>
  <cp:keywords/>
  <dcterms:created xsi:type="dcterms:W3CDTF">2026-07-22T15:34:34Z</dcterms:created>
  <dcterms:modified xsi:type="dcterms:W3CDTF">2026-07-22T15:34:34Z</dcterms:modified>
</cp:coreProperties>
</file>

<file path=docProps/custom.xml><?xml version="1.0" encoding="utf-8"?>
<Properties xmlns="http://schemas.openxmlformats.org/officeDocument/2006/custom-properties" xmlns:vt="http://schemas.openxmlformats.org/officeDocument/2006/docPropsVTypes"/>
</file>