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General</w:t>
      </w:r>
      <w:r>
        <w:t xml:space="preserve"> </w:t>
      </w:r>
      <w:r>
        <w:t xml:space="preserve">Practitioner</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India</w:t>
      </w:r>
    </w:p>
    <w:bookmarkStart w:id="28" w:name="Xbc0e0c038993c96d411359068d05cd5ff584f7c"/>
    <w:p>
      <w:pPr>
        <w:pStyle w:val="Heading1"/>
      </w:pPr>
      <w:r>
        <w:t xml:space="preserve">Quarterly Sales Performance Report: General Practitioner (GP) Services in Mumbai,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Operations Leadership, Mumbai District</w:t>
      </w:r>
      <w:r>
        <w:br/>
      </w:r>
      <w:r>
        <w:rPr>
          <w:bCs/>
          <w:b/>
        </w:rPr>
        <w:t xml:space="preserve">Purpose:</w:t>
      </w:r>
      <w:r>
        <w:t xml:space="preserve"> </w:t>
      </w:r>
      <w:r>
        <w:t xml:space="preserve">Analysis of Sales Performance for General Practitioner (GP) Services Across Urban and Suburban Mumbai</w:t>
      </w:r>
    </w:p>
    <w:bookmarkStart w:id="20" w:name="i.-executive-summary"/>
    <w:p>
      <w:pPr>
        <w:pStyle w:val="Heading2"/>
      </w:pPr>
      <w:r>
        <w:t xml:space="preserve">I. Executive Summary</w:t>
      </w:r>
    </w:p>
    <w:p>
      <w:pPr>
        <w:pStyle w:val="FirstParagraph"/>
      </w:pPr>
      <w:r>
        <w:t xml:space="preserve">This Sales Report documents the performance metrics for General Practitioner services within the Mumbai Metropolitan Region (MMR), India, covering Q3 2023 (July 1 - September 30). The report underscores a robust sales trajectory for primary healthcare access points, driven by rising urban population density, increasing health consciousness, and strategic expansion of clinic networks. Total revenue from Doctor General Practitioner consultations reached ₹18.7 Crore across Mumbai’s private healthcare sector – a 22% year-on-year increase reflecting strong market demand. Critical drivers include telemedicine adoption (up 45% YoY), corporate wellness tie-ups, and high patient retention rates at established GP clinics in key boroughs like South Mumbai, Andheri, and Thane.</w:t>
      </w:r>
    </w:p>
    <w:bookmarkEnd w:id="20"/>
    <w:bookmarkStart w:id="22" w:name="X2a062049cc3727aebaa8d77cdff001000d3349c"/>
    <w:p>
      <w:pPr>
        <w:pStyle w:val="Heading2"/>
      </w:pPr>
      <w:r>
        <w:t xml:space="preserve">II. Market Context: Mumbai &amp; General Practitioner Demand</w:t>
      </w:r>
    </w:p>
    <w:p>
      <w:pPr>
        <w:pStyle w:val="FirstParagraph"/>
      </w:pPr>
      <w:r>
        <w:t xml:space="preserve">Mumbai’s unique demographic pressures—64,798 people per square kilometer (Census 2011)—create acute demand for accessible primary care. The city’s population of 20.7 million relies heavily on Doctor General Practitioners as the first point of contact for common ailments, chronic disease management (e.g., diabetes, hypertension), and preventative health screenings. According to the National Health Profile 2021, Mumbai accounts for ~15% of India’s total primary care consultations, with GPs handling over 70% of initial patient interactions. This high dependency makes the GP service channel a critical sales and service pillar in our Mumbai healthcare ecosystem.</w:t>
      </w:r>
    </w:p>
    <w:bookmarkStart w:id="21" w:name="key-market-trends-influencing-sales"/>
    <w:p>
      <w:pPr>
        <w:pStyle w:val="Heading3"/>
      </w:pPr>
      <w:r>
        <w:t xml:space="preserve">Key Market Trends Influencing Sales:</w:t>
      </w:r>
    </w:p>
    <w:p>
      <w:pPr>
        <w:numPr>
          <w:ilvl w:val="0"/>
          <w:numId w:val="1001"/>
        </w:numPr>
        <w:pStyle w:val="Compact"/>
      </w:pPr>
      <w:r>
        <w:rPr>
          <w:bCs/>
          <w:b/>
        </w:rPr>
        <w:t xml:space="preserve">Urbanization &amp; Clinic Density:</w:t>
      </w:r>
      <w:r>
        <w:t xml:space="preserve"> </w:t>
      </w:r>
      <w:r>
        <w:t xml:space="preserve">Mumbai saw a 12% increase in licensed GP clinics (from 1,850 to 2,070) in the past year. Prime locations like Juhu, Khar, and Goregaon witnessed the highest clinic openings due to residential growth.</w:t>
      </w:r>
    </w:p>
    <w:p>
      <w:pPr>
        <w:numPr>
          <w:ilvl w:val="0"/>
          <w:numId w:val="1001"/>
        </w:numPr>
        <w:pStyle w:val="Compact"/>
      </w:pPr>
      <w:r>
        <w:rPr>
          <w:bCs/>
          <w:b/>
        </w:rPr>
        <w:t xml:space="preserve">Telemedicine Surge:</w:t>
      </w:r>
      <w:r>
        <w:t xml:space="preserve"> </w:t>
      </w:r>
      <w:r>
        <w:t xml:space="preserve">Post-pandemic demand for virtual GP consultations remains strong. Mumbai’s digital health adoption rate (58%) outperforms national average (42%), directly boosting service sales volume.</w:t>
      </w:r>
    </w:p>
    <w:p>
      <w:pPr>
        <w:numPr>
          <w:ilvl w:val="0"/>
          <w:numId w:val="1001"/>
        </w:numPr>
        <w:pStyle w:val="Compact"/>
      </w:pPr>
      <w:r>
        <w:rPr>
          <w:bCs/>
          <w:b/>
        </w:rPr>
        <w:t xml:space="preserve">Coverage Expansion:</w:t>
      </w:r>
      <w:r>
        <w:t xml:space="preserve"> </w:t>
      </w:r>
      <w:r>
        <w:t xml:space="preserve">Corporate partnerships with IT parks (e.g., Cyberabad, Lower Parel) and retail chains now include GP consultations as part of employee wellness packages, generating 18% of total Q3 revenue.</w:t>
      </w:r>
    </w:p>
    <w:bookmarkEnd w:id="21"/>
    <w:bookmarkEnd w:id="22"/>
    <w:bookmarkStart w:id="24" w:name="Xba58baf429453923e101958a312b1fe71a98e79"/>
    <w:p>
      <w:pPr>
        <w:pStyle w:val="Heading2"/>
      </w:pPr>
      <w:r>
        <w:t xml:space="preserve">III. Sales Performance Breakdown: Mumbai Focus</w:t>
      </w:r>
    </w:p>
    <w:p>
      <w:pPr>
        <w:pStyle w:val="FirstParagraph"/>
      </w:pPr>
      <w:r>
        <w:t xml:space="preserve">This section details the sales performance for Doctor General Practitioner services across Mumbai’s primary healthcare market:</w:t>
      </w:r>
    </w:p>
    <w:p>
      <w:pPr>
        <w:pStyle w:val="BodyText"/>
      </w:pPr>
      <w:r>
        <w:t xml:space="preserve">Service Type</w:t>
      </w:r>
    </w:p>
    <w:p>
      <w:pPr>
        <w:pStyle w:val="BodyText"/>
      </w:pPr>
      <w:r>
        <w:t xml:space="preserve">Q3 2023 Revenue (₹ Crore)</w:t>
      </w:r>
    </w:p>
    <w:p>
      <w:pPr>
        <w:pStyle w:val="BodyText"/>
      </w:pPr>
      <w:r>
        <w:t xml:space="preserve">% YoY Growth</w:t>
      </w:r>
    </w:p>
    <w:p>
      <w:pPr>
        <w:pStyle w:val="BodyText"/>
      </w:pPr>
      <w:r>
        <w:t xml:space="preserve">Mumbai Market Share</w:t>
      </w:r>
    </w:p>
    <w:p>
      <w:pPr>
        <w:pStyle w:val="BodyText"/>
      </w:pPr>
      <w:r>
        <w:t xml:space="preserve">In-Person Consultations (Clinic)</w:t>
      </w:r>
    </w:p>
    <w:p>
      <w:pPr>
        <w:pStyle w:val="BodyText"/>
      </w:pPr>
      <w:r>
        <w:t xml:space="preserve">12.1</w:t>
      </w:r>
    </w:p>
    <w:p>
      <w:pPr>
        <w:pStyle w:val="BodyText"/>
      </w:pPr>
      <w:r>
        <w:t xml:space="preserve">+15%</w:t>
      </w:r>
    </w:p>
    <w:p>
      <w:pPr>
        <w:pStyle w:val="BodyText"/>
      </w:pPr>
      <w:r>
        <w:t xml:space="preserve">65%</w:t>
      </w:r>
    </w:p>
    <w:p>
      <w:pPr>
        <w:pStyle w:val="BodyText"/>
      </w:pPr>
      <w:r>
        <w:t xml:space="preserve">Total GP Service Revenue</w:t>
      </w:r>
    </w:p>
    <w:p>
      <w:pPr>
        <w:pStyle w:val="BodyText"/>
      </w:pPr>
      <w:r>
        <w:rPr>
          <w:bCs/>
          <w:b/>
        </w:rPr>
        <w:t xml:space="preserve">₹18.7</w:t>
      </w:r>
    </w:p>
    <w:p>
      <w:pPr>
        <w:pStyle w:val="BodyText"/>
      </w:pPr>
      <w:r>
        <w:rPr>
          <w:bCs/>
          <w:b/>
        </w:rPr>
        <w:t xml:space="preserve">+22%</w:t>
      </w:r>
    </w:p>
    <w:p>
      <w:pPr>
        <w:pStyle w:val="BodyText"/>
      </w:pPr>
      <w:r>
        <w:rPr>
          <w:iCs/>
          <w:i/>
        </w:rPr>
        <w:t xml:space="preserve">N/A (Mumbai Dominant)</w:t>
      </w:r>
    </w:p>
    <w:p>
      <w:pPr>
        <w:pStyle w:val="BodyText"/>
      </w:pPr>
      <w:r>
        <w:t xml:space="preserve">The "highlight" row above reflects Mumbai’s dominance in GP service sales—accounting for 78% of the total revenue generated by our healthcare network across India. Suburban centers like Navi Mumbai (24% growth) and Thane (20%) drove significant expansion, while South Mumbai (Bandra, Nariman Point) maintained premium consultation pricing.</w:t>
      </w:r>
    </w:p>
    <w:bookmarkStart w:id="23" w:name="X3215aeadfbdb041abe98592279296c819823616"/>
    <w:p>
      <w:pPr>
        <w:pStyle w:val="Heading3"/>
      </w:pPr>
      <w:r>
        <w:t xml:space="preserve">Top Performing GP Service Channels in Mumbai:</w:t>
      </w:r>
    </w:p>
    <w:p>
      <w:pPr>
        <w:numPr>
          <w:ilvl w:val="0"/>
          <w:numId w:val="1002"/>
        </w:numPr>
        <w:pStyle w:val="Compact"/>
      </w:pPr>
      <w:r>
        <w:rPr>
          <w:bCs/>
          <w:b/>
        </w:rPr>
        <w:t xml:space="preserve">Hybrid Clinics (Tele + Physical):</w:t>
      </w:r>
      <w:r>
        <w:t xml:space="preserve"> </w:t>
      </w:r>
      <w:r>
        <w:t xml:space="preserve">Generated ₹8.9 Crore (47% of total). Example: "Mumbai Care Clinic" in Andheri reported a 60% increase in repeat patients via its app-based scheduling.</w:t>
      </w:r>
    </w:p>
    <w:p>
      <w:pPr>
        <w:numPr>
          <w:ilvl w:val="0"/>
          <w:numId w:val="1002"/>
        </w:numPr>
        <w:pStyle w:val="Compact"/>
      </w:pPr>
      <w:r>
        <w:rPr>
          <w:bCs/>
          <w:b/>
        </w:rPr>
        <w:t xml:space="preserve">Clinic Partnerships with Corporates:</w:t>
      </w:r>
      <w:r>
        <w:t xml:space="preserve"> </w:t>
      </w:r>
      <w:r>
        <w:t xml:space="preserve">₹4.1 Crore (22%). Key clients: TCS (Pune-Mumbai campus), Godrej Group, and Reliance Retail wellness programs.</w:t>
      </w:r>
    </w:p>
    <w:p>
      <w:pPr>
        <w:numPr>
          <w:ilvl w:val="0"/>
          <w:numId w:val="1002"/>
        </w:numPr>
        <w:pStyle w:val="Compact"/>
      </w:pPr>
      <w:r>
        <w:rPr>
          <w:bCs/>
          <w:b/>
        </w:rPr>
        <w:t xml:space="preserve">Government Tie-ups (Aarogya Setu &amp; BMC):</w:t>
      </w:r>
      <w:r>
        <w:t xml:space="preserve"> </w:t>
      </w:r>
      <w:r>
        <w:t xml:space="preserve">₹3.5 Crore (19%). Municipal health camps in Dharavi and Chembur delivered 15,000+ consultations at subsidized rates, driving patient acquisition for private GP networks.</w:t>
      </w:r>
    </w:p>
    <w:bookmarkEnd w:id="23"/>
    <w:bookmarkEnd w:id="24"/>
    <w:bookmarkStart w:id="25" w:name="X6182d8b79548282273c1d00dc7b63144be84929"/>
    <w:p>
      <w:pPr>
        <w:pStyle w:val="Heading2"/>
      </w:pPr>
      <w:r>
        <w:t xml:space="preserve">IV. Challenges Impacting Sales Growth in Mumbai</w:t>
      </w:r>
    </w:p>
    <w:p>
      <w:pPr>
        <w:pStyle w:val="FirstParagraph"/>
      </w:pPr>
      <w:r>
        <w:t xml:space="preserve">Despite strong performance, three challenges require immediate attention to sustain sales momentum in Mumbai:</w:t>
      </w:r>
    </w:p>
    <w:p>
      <w:pPr>
        <w:numPr>
          <w:ilvl w:val="0"/>
          <w:numId w:val="1003"/>
        </w:numPr>
        <w:pStyle w:val="Compact"/>
      </w:pPr>
      <w:r>
        <w:rPr>
          <w:bCs/>
          <w:b/>
        </w:rPr>
        <w:t xml:space="preserve">Doctor Shortages in Suburbs:</w:t>
      </w:r>
      <w:r>
        <w:t xml:space="preserve"> </w:t>
      </w:r>
      <w:r>
        <w:t xml:space="preserve">Demand outpaces supply in areas like Kalyan (3.5 doctors per 10k residents vs. city avg. of 4.8). This limits our ability to convert leads into sales.</w:t>
      </w:r>
    </w:p>
    <w:p>
      <w:pPr>
        <w:numPr>
          <w:ilvl w:val="0"/>
          <w:numId w:val="1003"/>
        </w:numPr>
        <w:pStyle w:val="Compact"/>
      </w:pPr>
      <w:r>
        <w:rPr>
          <w:bCs/>
          <w:b/>
        </w:rPr>
        <w:t xml:space="preserve">Pricing Sensitivity:</w:t>
      </w:r>
      <w:r>
        <w:t xml:space="preserve"> </w:t>
      </w:r>
      <w:r>
        <w:t xml:space="preserve">Mumbai’s middle-income segments are highly price-conscious; only 28% opt for premium teleconsultations despite lower operational costs.</w:t>
      </w:r>
    </w:p>
    <w:p>
      <w:pPr>
        <w:numPr>
          <w:ilvl w:val="0"/>
          <w:numId w:val="1003"/>
        </w:numPr>
        <w:pStyle w:val="Compact"/>
      </w:pPr>
      <w:r>
        <w:rPr>
          <w:bCs/>
          <w:b/>
        </w:rPr>
        <w:t xml:space="preserve">Regulatory Hurdles:</w:t>
      </w:r>
      <w:r>
        <w:t xml:space="preserve"> </w:t>
      </w:r>
      <w:r>
        <w:t xml:space="preserve">BMC licensing delays (average 4.5 months) slow clinic expansion in high-demand zones like Malad and Vashi, directly impacting sales pipeline growth.</w:t>
      </w:r>
    </w:p>
    <w:bookmarkEnd w:id="25"/>
    <w:bookmarkStart w:id="26" w:name="Xf18405f17d11344ce41e9042bdf756858f101ad"/>
    <w:p>
      <w:pPr>
        <w:pStyle w:val="Heading2"/>
      </w:pPr>
      <w:r>
        <w:t xml:space="preserve">V. Strategic Recommendations for Mumbai GP Sales Growth</w:t>
      </w:r>
    </w:p>
    <w:p>
      <w:pPr>
        <w:pStyle w:val="FirstParagraph"/>
      </w:pPr>
      <w:r>
        <w:t xml:space="preserve">To capitalize on Mumbai’s demand for Doctor General Practitioner services, we propose the following actions:</w:t>
      </w:r>
    </w:p>
    <w:p>
      <w:pPr>
        <w:numPr>
          <w:ilvl w:val="0"/>
          <w:numId w:val="1004"/>
        </w:numPr>
        <w:pStyle w:val="Compact"/>
      </w:pPr>
      <w:r>
        <w:rPr>
          <w:bCs/>
          <w:b/>
        </w:rPr>
        <w:t xml:space="preserve">Deploy Mobile GP Units in High-Demand Suburbs:</w:t>
      </w:r>
      <w:r>
        <w:t xml:space="preserve"> </w:t>
      </w:r>
      <w:r>
        <w:t xml:space="preserve">Launch 5 satellite clinics with telehealth integration in Kalyan, Navi Mumbai, and Vasai by Q1 2024. This targets the ₹48 Crore unmet demand identified by BMC (2023 Report).</w:t>
      </w:r>
    </w:p>
    <w:p>
      <w:pPr>
        <w:numPr>
          <w:ilvl w:val="0"/>
          <w:numId w:val="1004"/>
        </w:numPr>
        <w:pStyle w:val="Compact"/>
      </w:pPr>
      <w:r>
        <w:rPr>
          <w:bCs/>
          <w:b/>
        </w:rPr>
        <w:t xml:space="preserve">Develop Tiered Pricing for Mumbai Customers:</w:t>
      </w:r>
      <w:r>
        <w:t xml:space="preserve"> </w:t>
      </w:r>
      <w:r>
        <w:t xml:space="preserve">Introduce a "Mumbai Health Pass" with monthly subscriptions (₹499) covering 6 in-person + unlimited teleconsultations—addressing pricing sensitivity while boosting retention.</w:t>
      </w:r>
    </w:p>
    <w:p>
      <w:pPr>
        <w:numPr>
          <w:ilvl w:val="0"/>
          <w:numId w:val="1004"/>
        </w:numPr>
        <w:pStyle w:val="Compact"/>
      </w:pPr>
      <w:r>
        <w:rPr>
          <w:bCs/>
          <w:b/>
        </w:rPr>
        <w:t xml:space="preserve">Lobby for Fast-Track BMC Licensing:</w:t>
      </w:r>
      <w:r>
        <w:t xml:space="preserve"> </w:t>
      </w:r>
      <w:r>
        <w:t xml:space="preserve">Partner with Mumbai Chamber of Commerce to streamline GP clinic approvals, targeting a 30% reduction in processing time by December 2023.</w:t>
      </w:r>
    </w:p>
    <w:bookmarkEnd w:id="26"/>
    <w:bookmarkStart w:id="27" w:name="vi.-conclusion"/>
    <w:p>
      <w:pPr>
        <w:pStyle w:val="Heading2"/>
      </w:pPr>
      <w:r>
        <w:t xml:space="preserve">VI. Conclusion</w:t>
      </w:r>
    </w:p>
    <w:p>
      <w:pPr>
        <w:pStyle w:val="FirstParagraph"/>
      </w:pPr>
      <w:r>
        <w:t xml:space="preserve">The Sales Report confirms that Doctor General Practitioner services remain the cornerstone of healthcare access in India’s most populous city. Mumbai’s market demonstrates exceptional growth potential (projected 18% CAGR through 2027), driven by its unique urban dynamics and evolving patient expectations. Our Q3 results—fueling ₹18.7 Crore in revenue—prove that strategic investments in telehealth integration, suburban expansion, and corporate partnerships are yielding high returns. Moving forward, prioritizing infrastructure (clinics), affordability (pricing models), and regulatory navigation will be essential to capturing Mumbai’s full potential as the leading healthcare sales market in India.</w:t>
      </w:r>
    </w:p>
    <w:p>
      <w:pPr>
        <w:pStyle w:val="BodyText"/>
      </w:pPr>
      <w:r>
        <w:rPr>
          <w:bCs/>
          <w:b/>
        </w:rPr>
        <w:t xml:space="preserve">Prepared By:</w:t>
      </w:r>
      <w:r>
        <w:t xml:space="preserve"> </w:t>
      </w:r>
      <w:r>
        <w:t xml:space="preserve">Healthcare Sales Strategy Unit, Mumbai Division</w:t>
      </w:r>
      <w:r>
        <w:br/>
      </w:r>
      <w:r>
        <w:rPr>
          <w:bCs/>
          <w:b/>
        </w:rPr>
        <w:t xml:space="preserve">Contact:</w:t>
      </w:r>
      <w:r>
        <w:t xml:space="preserve"> </w:t>
      </w:r>
      <w:r>
        <w:t xml:space="preserve">sales.mumbai@healthcareindia.com</w:t>
      </w:r>
    </w:p>
    <w:p>
      <w:pPr>
        <w:pStyle w:val="BodyText"/>
      </w:pPr>
      <w:r>
        <w:rPr>
          <w:iCs/>
          <w:i/>
        </w:rPr>
        <w:t xml:space="preserve">Note: All figures represent private healthcare sector data collected from Mumbai’s 2,070+ licensed General Practitioner service providers. Sources include BMC Health Records (Q3 2023), National Sample Survey Office (NSSO), and internal sales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General Practitioner Services Sales Report - India</dc:title>
  <dc:creator/>
  <dc:language>en</dc:language>
  <cp:keywords/>
  <dcterms:created xsi:type="dcterms:W3CDTF">2026-07-23T15:10:45Z</dcterms:created>
  <dcterms:modified xsi:type="dcterms:W3CDTF">2026-07-23T15:10:45Z</dcterms:modified>
</cp:coreProperties>
</file>

<file path=docProps/custom.xml><?xml version="1.0" encoding="utf-8"?>
<Properties xmlns="http://schemas.openxmlformats.org/officeDocument/2006/custom-properties" xmlns:vt="http://schemas.openxmlformats.org/officeDocument/2006/docPropsVTypes"/>
</file>