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29" w:name="X13da4570a3abb471587ff15aec058084224e167"/>
    <w:p>
      <w:pPr>
        <w:pStyle w:val="Heading1"/>
      </w:pPr>
      <w:r>
        <w:t xml:space="preserve">Quarterly Sales Report: General Practitioner Services in Jakarta, Indonesia (Q3 2023)</w:t>
      </w:r>
    </w:p>
    <w:bookmarkStart w:id="28" w:name="X56dd562d2fc2157c0b1b9e7731df9632d7565e1"/>
    <w:p>
      <w:pPr>
        <w:pStyle w:val="Heading2"/>
      </w:pPr>
      <w:r>
        <w:t xml:space="preserve">Prepared For: Healthcare Management Directorate, Jakarta</w:t>
      </w:r>
    </w:p>
    <w:p>
      <w:pPr>
        <w:pStyle w:val="FirstParagraph"/>
      </w:pPr>
      <w:r>
        <w:rPr>
          <w:bCs/>
          <w:b/>
        </w:rPr>
        <w:t xml:space="preserve">Date:</w:t>
      </w:r>
      <w:r>
        <w:t xml:space="preserve"> </w:t>
      </w:r>
      <w:r>
        <w:t xml:space="preserve">October 26, 2023</w:t>
      </w:r>
    </w:p>
    <w:bookmarkStart w:id="20" w:name="executive-summary"/>
    <w:p>
      <w:pPr>
        <w:pStyle w:val="Heading3"/>
      </w:pPr>
      <w:r>
        <w:t xml:space="preserve">Executive Summary</w:t>
      </w:r>
    </w:p>
    <w:p>
      <w:pPr>
        <w:pStyle w:val="FirstParagraph"/>
      </w:pPr>
      <w:r>
        <w:t xml:space="preserve">This report details the sales performance of General Practitioner (GP) services across Jakarta metropolitan area for the third quarter of 2023. The analysis covers patient acquisition, service revenue, market trends, and strategic opportunities specific to Indonesia's largest city. With Jakarta's population exceeding 10 million residents and a growing demand for accessible primary healthcare, GP services have demonstrated robust growth (+18% YoY). This report underscores the critical role of Doctor General Practitioner (DGP) networks in addressing urban health challenges while providing actionable insights for stakeholders in the Indonesian healthcare sector.</w:t>
      </w:r>
    </w:p>
    <w:bookmarkEnd w:id="20"/>
    <w:bookmarkStart w:id="21" w:name="Xbceea8234f8049b1ce960723986cdffc99994a2"/>
    <w:p>
      <w:pPr>
        <w:pStyle w:val="Heading3"/>
      </w:pPr>
      <w:r>
        <w:t xml:space="preserve">Market Context: Jakarta's Healthcare Landscape</w:t>
      </w:r>
    </w:p>
    <w:p>
      <w:pPr>
        <w:pStyle w:val="FirstParagraph"/>
      </w:pPr>
      <w:r>
        <w:t xml:space="preserve">Indonesia Jakarta presents unique dynamics for GP services. As the economic capital of Indonesia, it faces high population density (15,000 people/km² in central districts), chronic disease prevalence (diabetes at 12% among adults), and a dual-tier healthcare system where BPJS Kesehatan covers 86% of the population. Doctor General Practitioner services remain the frontline for 72% of primary care visits in Jakarta, serving as gatekeepers to specialized care. The Ministry of Health’s (Kemenkes) "Puskesmas Revitalization Program" has further amplified demand for accessible GP networks across Jakarta's 51 districts.</w:t>
      </w:r>
    </w:p>
    <w:bookmarkEnd w:id="21"/>
    <w:bookmarkStart w:id="22" w:name="quarterly-sales-performance-overview"/>
    <w:p>
      <w:pPr>
        <w:pStyle w:val="Heading3"/>
      </w:pPr>
      <w:r>
        <w:t xml:space="preserve">Quarterly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Q3 2023 (Rp)</w:t>
            </w:r>
          </w:p>
        </w:tc>
        <w:tc>
          <w:tcPr/>
          <w:p>
            <w:pPr>
              <w:pStyle w:val="Compact"/>
              <w:jc w:val="left"/>
            </w:pPr>
            <w:r>
              <w:t xml:space="preserve">Q2 2023 (Rp)</w:t>
            </w:r>
          </w:p>
        </w:tc>
        <w:tc>
          <w:tcPr/>
          <w:p>
            <w:pPr>
              <w:pStyle w:val="Compact"/>
              <w:jc w:val="left"/>
            </w:pPr>
            <w:r>
              <w:t xml:space="preserve">YoY Change</w:t>
            </w:r>
          </w:p>
        </w:tc>
      </w:tr>
      <w:tr>
        <w:tc>
          <w:tcPr/>
          <w:p>
            <w:pPr>
              <w:pStyle w:val="Compact"/>
              <w:jc w:val="left"/>
            </w:pPr>
            <w:r>
              <w:t xml:space="preserve">Total Consultation Revenue</w:t>
            </w:r>
          </w:p>
        </w:tc>
        <w:tc>
          <w:tcPr/>
          <w:p>
            <w:pPr>
              <w:pStyle w:val="Compact"/>
              <w:jc w:val="left"/>
            </w:pPr>
            <w:r>
              <w:t xml:space="preserve">89,750,000,000</w:t>
            </w:r>
          </w:p>
        </w:tc>
        <w:tc>
          <w:tcPr/>
          <w:p>
            <w:pPr>
              <w:pStyle w:val="Compact"/>
              <w:jc w:val="left"/>
            </w:pPr>
            <w:r>
              <w:t xml:space="preserve">76,245,123,845</w:t>
            </w:r>
          </w:p>
        </w:tc>
        <w:tc>
          <w:tcPr/>
          <w:p>
            <w:pPr>
              <w:pStyle w:val="Compact"/>
              <w:jc w:val="left"/>
            </w:pPr>
            <w:r>
              <w:t xml:space="preserve">+18.3%</w:t>
            </w:r>
          </w:p>
        </w:tc>
      </w:tr>
      <w:tr>
        <w:tc>
          <w:tcPr/>
          <w:p>
            <w:pPr>
              <w:pStyle w:val="Compact"/>
              <w:jc w:val="left"/>
            </w:pPr>
            <w:r>
              <w:t xml:space="preserve">Average Patient Visits/Day (Jakarta)</w:t>
            </w:r>
          </w:p>
        </w:tc>
        <w:tc>
          <w:tcPr/>
          <w:p>
            <w:pPr>
              <w:pStyle w:val="Compact"/>
              <w:jc w:val="left"/>
            </w:pPr>
            <w:r>
              <w:t xml:space="preserve">142</w:t>
            </w:r>
          </w:p>
        </w:tc>
        <w:tc>
          <w:tcPr/>
          <w:p>
            <w:pPr>
              <w:pStyle w:val="Compact"/>
              <w:jc w:val="left"/>
            </w:pPr>
            <w:r>
              <w:t xml:space="preserve">127</w:t>
            </w:r>
          </w:p>
        </w:tc>
        <w:tc>
          <w:tcPr/>
          <w:p>
            <w:pPr>
              <w:pStyle w:val="Compact"/>
              <w:jc w:val="left"/>
            </w:pPr>
            <w:r>
              <w:t xml:space="preserve">+12.6%</w:t>
            </w:r>
          </w:p>
        </w:tc>
      </w:tr>
      <w:tr>
        <w:tc>
          <w:tcPr/>
          <w:p>
            <w:pPr>
              <w:pStyle w:val="Compact"/>
              <w:jc w:val="left"/>
            </w:pPr>
            <w:r>
              <w:t xml:space="preserve">BPJS-Eligible Consultations</w:t>
            </w:r>
          </w:p>
        </w:tc>
        <w:tc>
          <w:tcPr/>
          <w:p>
            <w:pPr>
              <w:pStyle w:val="Compact"/>
              <w:jc w:val="left"/>
            </w:pPr>
            <w:r>
              <w:t xml:space="preserve">68% of Total</w:t>
            </w:r>
          </w:p>
        </w:tc>
        <w:tc>
          <w:tcPr/>
          <w:p>
            <w:pPr>
              <w:pStyle w:val="Compact"/>
              <w:jc w:val="left"/>
            </w:pPr>
            <w:r>
              <w:t xml:space="preserve">63%</w:t>
            </w:r>
          </w:p>
        </w:tc>
        <w:tc>
          <w:tcPr/>
          <w:p>
            <w:pPr>
              <w:pStyle w:val="Compact"/>
              <w:jc w:val="left"/>
            </w:pPr>
            <w:r>
              <w:t xml:space="preserve">+5 pts</w:t>
            </w:r>
          </w:p>
        </w:tc>
      </w:tr>
      <w:tr>
        <w:tc>
          <w:tcPr/>
          <w:p>
            <w:pPr>
              <w:pStyle w:val="Compact"/>
              <w:jc w:val="left"/>
            </w:pPr>
            <w:r>
              <w:t xml:space="preserve">New Patient Acquisitions (Jakarta)</w:t>
            </w:r>
          </w:p>
        </w:tc>
        <w:tc>
          <w:tcPr/>
          <w:p>
            <w:pPr>
              <w:pStyle w:val="Compact"/>
              <w:jc w:val="left"/>
            </w:pPr>
            <w:r>
              <w:t xml:space="preserve">4,200 patients</w:t>
            </w:r>
          </w:p>
        </w:tc>
        <w:tc>
          <w:tcPr/>
          <w:p>
            <w:pPr>
              <w:pStyle w:val="Compact"/>
              <w:jc w:val="left"/>
            </w:pPr>
            <w:r>
              <w:t xml:space="preserve">3,550 patients</w:t>
            </w:r>
          </w:p>
        </w:tc>
        <w:tc>
          <w:tcPr/>
          <w:p>
            <w:pPr>
              <w:pStyle w:val="Compact"/>
              <w:jc w:val="left"/>
            </w:pPr>
            <w:r>
              <w:t xml:space="preserve">+18.3%</w:t>
            </w:r>
          </w:p>
        </w:tc>
      </w:tr>
    </w:tbl>
    <w:bookmarkEnd w:id="22"/>
    <w:bookmarkStart w:id="23" w:name="key-drivers-of-growth-in-jakarta"/>
    <w:p>
      <w:pPr>
        <w:pStyle w:val="Heading3"/>
      </w:pPr>
      <w:r>
        <w:t xml:space="preserve">Key Drivers of Growth in Jakarta</w:t>
      </w:r>
    </w:p>
    <w:p>
      <w:pPr>
        <w:pStyle w:val="FirstParagraph"/>
      </w:pPr>
      <w:r>
        <w:rPr>
          <w:bCs/>
          <w:b/>
        </w:rPr>
        <w:t xml:space="preserve">1. BPJS Kesehatan Integration:</w:t>
      </w:r>
      <w:r>
        <w:t xml:space="preserve"> </w:t>
      </w:r>
      <w:r>
        <w:t xml:space="preserve">Successful partnerships with Jakarta's 275 public health centers (Puskesmas) and private clinics have streamlined billing for GP services. DGPs now process 68% of consultations under BPJS, reducing patient financial barriers—a critical factor in a city where out-of-pocket healthcare expenses previously deterred low-income populations.</w:t>
      </w:r>
    </w:p>
    <w:p>
      <w:pPr>
        <w:pStyle w:val="BodyText"/>
      </w:pPr>
      <w:r>
        <w:rPr>
          <w:bCs/>
          <w:b/>
        </w:rPr>
        <w:t xml:space="preserve">2. Urbanization &amp; Health Awareness:</w:t>
      </w:r>
      <w:r>
        <w:t xml:space="preserve"> </w:t>
      </w:r>
      <w:r>
        <w:t xml:space="preserve">Jakarta's rapid urban growth (150,000 new residents monthly) has increased demand for preventive care. DGPs in West Jakarta (e.g., Cipete, Tanah Abang) reported a 32% rise in chronic disease management consultations (hypertension, diabetes), directly aligning with Kemenkes' National Health Strategy.</w:t>
      </w:r>
    </w:p>
    <w:p>
      <w:pPr>
        <w:pStyle w:val="BodyText"/>
      </w:pPr>
      <w:r>
        <w:rPr>
          <w:bCs/>
          <w:b/>
        </w:rPr>
        <w:t xml:space="preserve">3. Digital Adoption:</w:t>
      </w:r>
      <w:r>
        <w:t xml:space="preserve"> </w:t>
      </w:r>
      <w:r>
        <w:t xml:space="preserve">Telemedicine integration via the "KlikDokter" platform saw 28,000 virtual GP consults in Q3—a 145% YoY increase. This is particularly impactful in Jakarta’s traffic-congested districts (e.g., Central Jakarta), where patients prefer virtual first-consultations to avoid commute delays.</w:t>
      </w:r>
    </w:p>
    <w:bookmarkEnd w:id="23"/>
    <w:bookmarkStart w:id="24" w:name="Xe98be1cb912263990a16623a731fe24c39bbda1"/>
    <w:p>
      <w:pPr>
        <w:pStyle w:val="Heading3"/>
      </w:pPr>
      <w:r>
        <w:t xml:space="preserve">Challenges Specific to Doctor General Practitioner Services in Jakarta</w:t>
      </w:r>
    </w:p>
    <w:p>
      <w:pPr>
        <w:pStyle w:val="FirstParagraph"/>
      </w:pPr>
      <w:r>
        <w:rPr>
          <w:bCs/>
          <w:b/>
        </w:rPr>
        <w:t xml:space="preserve">1. Infrastructure Strain:</w:t>
      </w:r>
      <w:r>
        <w:t xml:space="preserve"> </w:t>
      </w:r>
      <w:r>
        <w:t xml:space="preserve">Public Puskesmas facilities in East Jakarta (e.g., Cakung) operate at 98% capacity, causing average wait times of 45 minutes. This strain negatively impacts patient satisfaction scores for DGPs working within the public system.</w:t>
      </w:r>
    </w:p>
    <w:p>
      <w:pPr>
        <w:pStyle w:val="BodyText"/>
      </w:pPr>
      <w:r>
        <w:rPr>
          <w:bCs/>
          <w:b/>
        </w:rPr>
        <w:t xml:space="preserve">2. Regulatory Complexity:</w:t>
      </w:r>
      <w:r>
        <w:t xml:space="preserve"> </w:t>
      </w:r>
      <w:r>
        <w:t xml:space="preserve">Navigating Jakarta's municipal health regulations (Perda No. 2/2019) requires frequent staff training for DGPs, diverting resources from patient care. Compliance costs rose by 8% in Q3 due to new data privacy requirements.</w:t>
      </w:r>
    </w:p>
    <w:p>
      <w:pPr>
        <w:pStyle w:val="BodyText"/>
      </w:pPr>
      <w:r>
        <w:rPr>
          <w:bCs/>
          <w:b/>
        </w:rPr>
        <w:t xml:space="preserve">3. Talent Retention:</w:t>
      </w:r>
      <w:r>
        <w:t xml:space="preserve"> </w:t>
      </w:r>
      <w:r>
        <w:t xml:space="preserve">Jakarta's high cost of living exacerbates physician shortages. DGP vacancies increased by 11% compared to Q2, with many preferring private hospitals over community clinics due to better compensation structures.</w:t>
      </w:r>
    </w:p>
    <w:bookmarkEnd w:id="24"/>
    <w:bookmarkStart w:id="25" w:name="X01fe4f13d730a638a9aab7ba4a095f287bdff48"/>
    <w:p>
      <w:pPr>
        <w:pStyle w:val="Heading3"/>
      </w:pPr>
      <w:r>
        <w:t xml:space="preserve">Strategic Recommendations for Jakarta Market</w:t>
      </w:r>
    </w:p>
    <w:p>
      <w:pPr>
        <w:numPr>
          <w:ilvl w:val="0"/>
          <w:numId w:val="1001"/>
        </w:numPr>
        <w:pStyle w:val="Compact"/>
      </w:pPr>
      <w:r>
        <w:rPr>
          <w:bCs/>
          <w:b/>
        </w:rPr>
        <w:t xml:space="preserve">Expand Mobile Clinics in High-Density Areas:</w:t>
      </w:r>
      <w:r>
        <w:t xml:space="preserve"> </w:t>
      </w:r>
      <w:r>
        <w:t xml:space="preserve">Deploy 5 additional mobile GP units in congested districts (e.g., Bekasi, Ciputat) to serve 2,000+ patients weekly. This addresses Jakarta’s "last-mile" access gap and aligns with Kemenkes'</w:t>
      </w:r>
      <w:r>
        <w:t xml:space="preserve"> </w:t>
      </w:r>
      <w:r>
        <w:rPr>
          <w:iCs/>
          <w:i/>
        </w:rPr>
        <w:t xml:space="preserve">Program Kesehatan Berbasis Masyarakat</w:t>
      </w:r>
      <w:r>
        <w:t xml:space="preserve">.</w:t>
      </w:r>
    </w:p>
    <w:p>
      <w:pPr>
        <w:numPr>
          <w:ilvl w:val="0"/>
          <w:numId w:val="1001"/>
        </w:numPr>
        <w:pStyle w:val="Compact"/>
      </w:pPr>
      <w:r>
        <w:rPr>
          <w:bCs/>
          <w:b/>
        </w:rPr>
        <w:t xml:space="preserve">Enhance Digital Onboarding for BPJS:</w:t>
      </w:r>
      <w:r>
        <w:t xml:space="preserve"> </w:t>
      </w:r>
      <w:r>
        <w:t xml:space="preserve">Develop a Jakarta-specific training module for DGPs to streamline BPJS claim submissions, targeting 20% reduction in billing delays. Partner with BPJS Kesehatan’s digital platform "JKN Mobile" for real-time eligibility checks.</w:t>
      </w:r>
    </w:p>
    <w:p>
      <w:pPr>
        <w:numPr>
          <w:ilvl w:val="0"/>
          <w:numId w:val="1001"/>
        </w:numPr>
        <w:pStyle w:val="Compact"/>
      </w:pPr>
      <w:r>
        <w:rPr>
          <w:bCs/>
          <w:b/>
        </w:rPr>
        <w:t xml:space="preserve">Launch "DGP Wellness Packages":</w:t>
      </w:r>
      <w:r>
        <w:t xml:space="preserve"> </w:t>
      </w:r>
      <w:r>
        <w:t xml:space="preserve">Create bundled services (e.g., 3-month diabetes management at Rp 1,200,000) targeting Jakarta's high-urbanization disease clusters. Initial pilot in South Jakarta districts reported 24% higher patient retention.</w:t>
      </w:r>
    </w:p>
    <w:p>
      <w:pPr>
        <w:numPr>
          <w:ilvl w:val="0"/>
          <w:numId w:val="1001"/>
        </w:numPr>
        <w:pStyle w:val="Compact"/>
      </w:pPr>
      <w:r>
        <w:rPr>
          <w:bCs/>
          <w:b/>
        </w:rPr>
        <w:t xml:space="preserve">Strengthen Multilingual Support:</w:t>
      </w:r>
      <w:r>
        <w:t xml:space="preserve"> </w:t>
      </w:r>
      <w:r>
        <w:t xml:space="preserve">Train DGPs in Bahasa Indonesia and basic English to serve Jakarta's expat community (150,000+ residents) and international business travelers—a $4.7M untapped revenue stream.</w:t>
      </w:r>
    </w:p>
    <w:bookmarkEnd w:id="25"/>
    <w:bookmarkStart w:id="26" w:name="financial-outlook-q4-2023-beyond"/>
    <w:p>
      <w:pPr>
        <w:pStyle w:val="Heading3"/>
      </w:pPr>
      <w:r>
        <w:t xml:space="preserve">Financial Outlook: Q4 2023 &amp; Beyond</w:t>
      </w:r>
    </w:p>
    <w:p>
      <w:pPr>
        <w:pStyle w:val="FirstParagraph"/>
      </w:pPr>
      <w:r>
        <w:t xml:space="preserve">Based on current growth trajectories, we project Jakarta's GP service revenue to reach Rp 115 billion by Q4 2023 (+28% YoY). This growth is contingent on: (a) successful implementation of mobile clinics, (b) reduced staff turnover through competitive compensation models, and (c) continued BPJS partnership expansion. Key risk factors include potential policy changes to BPJS reimbursement rates and rising operational costs from Jakarta’s 12% annual inflation rate.</w:t>
      </w:r>
    </w:p>
    <w:bookmarkEnd w:id="26"/>
    <w:bookmarkStart w:id="27" w:name="conclusion"/>
    <w:p>
      <w:pPr>
        <w:pStyle w:val="Heading3"/>
      </w:pPr>
      <w:r>
        <w:t xml:space="preserve">Conclusion</w:t>
      </w:r>
    </w:p>
    <w:p>
      <w:pPr>
        <w:pStyle w:val="FirstParagraph"/>
      </w:pPr>
      <w:r>
        <w:t xml:space="preserve">The Doctor General Practitioner network in Indonesia Jakarta has proven indispensable in scaling accessible, quality primary care across the city's diverse demographics. Q3 2023 demonstrated not only strong financial performance but also critical contributions to public health outcomes—reducing emergency department overuse by 15% in participating clinics. For stakeholders investing in GP services, Jakarta remains the most promising market within Indonesia due to its population density, policy support for primary care, and evolving healthcare consumer expectations. Sustained investment in DGP infrastructure, digital integration, and talent development will position Jakarta as a model for national healthcare delivery.</w:t>
      </w:r>
    </w:p>
    <w:p>
      <w:pPr>
        <w:pStyle w:val="BodyText"/>
      </w:pPr>
      <w:r>
        <w:rPr>
          <w:bCs/>
          <w:b/>
        </w:rPr>
        <w:t xml:space="preserve">Prepared By:</w:t>
      </w:r>
      <w:r>
        <w:t xml:space="preserve"> </w:t>
      </w:r>
      <w:r>
        <w:t xml:space="preserve">Healthcare Strategy Division | Indonesian Medical Services Group (IMSG)</w:t>
      </w:r>
    </w:p>
    <w:p>
      <w:pPr>
        <w:pStyle w:val="BodyText"/>
      </w:pPr>
      <w:r>
        <w:rPr>
          <w:bCs/>
          <w:b/>
        </w:rPr>
        <w:t xml:space="preserve">Confidentiality Notice:</w:t>
      </w:r>
      <w:r>
        <w:t xml:space="preserve"> </w:t>
      </w:r>
      <w:r>
        <w:t xml:space="preserve">This report contains proprietary sales data for internal use only. Distribution requires written approval from the Jakarta Regional Management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General Practitioner Services in Jakarta, Indonesia</dc:title>
  <dc:creator/>
  <cp:keywords/>
  <dcterms:created xsi:type="dcterms:W3CDTF">2026-07-23T15:20:53Z</dcterms:created>
  <dcterms:modified xsi:type="dcterms:W3CDTF">2026-07-23T15:20:53Z</dcterms:modified>
</cp:coreProperties>
</file>

<file path=docProps/custom.xml><?xml version="1.0" encoding="utf-8"?>
<Properties xmlns="http://schemas.openxmlformats.org/officeDocument/2006/custom-properties" xmlns:vt="http://schemas.openxmlformats.org/officeDocument/2006/docPropsVTypes"/>
</file>