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Iran</w:t>
      </w:r>
      <w:r>
        <w:t xml:space="preserve"> </w:t>
      </w:r>
      <w:r>
        <w:t xml:space="preserve">Tehran</w:t>
      </w:r>
    </w:p>
    <w:bookmarkStart w:id="26" w:name="Xbbb3cc71d8d6e9b51d90ed6ec7f8992f591e78b"/>
    <w:p>
      <w:pPr>
        <w:pStyle w:val="Heading1"/>
      </w:pPr>
      <w:r>
        <w:t xml:space="preserve">Sales Report: Performance Analysis of Doctor General Practitioner Services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Board, Tehran Metropolitan Area</w:t>
      </w:r>
      <w:r>
        <w:br/>
      </w:r>
      <w:r>
        <w:rPr>
          <w:bCs/>
          <w:b/>
        </w:rPr>
        <w:t xml:space="preserve">Prepared By:</w:t>
      </w:r>
      <w:r>
        <w:t xml:space="preserve"> </w:t>
      </w:r>
      <w:r>
        <w:t xml:space="preserve">Strategic Market Intelligence Unit, Iran Healthcare Analytics Division</w:t>
      </w:r>
    </w:p>
    <w:bookmarkStart w:id="20" w:name="i.-executive-summary"/>
    <w:p>
      <w:pPr>
        <w:pStyle w:val="Heading2"/>
      </w:pPr>
      <w:r>
        <w:t xml:space="preserve">I. Executive Summary</w:t>
      </w:r>
    </w:p>
    <w:p>
      <w:pPr>
        <w:pStyle w:val="FirstParagraph"/>
      </w:pPr>
      <w:r>
        <w:t xml:space="preserve">This comprehensive Sales Report analyzes the operational performance and market dynamics of Doctor General Practitioner (GP) services across Tehran, Iran. As the capital city with over 9 million residents and a critical hub for national healthcare delivery, Tehran represents 37% of Iran's primary care physician workforce. The report confirms that Doctor General Practitioner services remain the cornerstone of accessible healthcare in urban settings, with a 14.2% year-on-year growth in patient consultations during Q3 2023. Key findings indicate strong demand for integrated GP services, particularly in underserved neighborhoods like Shemiran, Velenjak, and Gholhak, where private clinics now account for 68% of new patient acquisition. This document underscores the strategic importance of optimizing Doctor General Practitioner sales strategies to meet Tehran's evolving healthcare needs while aligning with Iran's Health Transformation Plan (HTP).</w:t>
      </w:r>
    </w:p>
    <w:bookmarkEnd w:id="20"/>
    <w:bookmarkStart w:id="21" w:name="X929d3c32bac6b89f6728b468e78747e32ca3d16"/>
    <w:p>
      <w:pPr>
        <w:pStyle w:val="Heading2"/>
      </w:pPr>
      <w:r>
        <w:t xml:space="preserve">II. Market Context: Doctor General Practitioner Landscape in Tehran</w:t>
      </w:r>
    </w:p>
    <w:p>
      <w:pPr>
        <w:pStyle w:val="FirstParagraph"/>
      </w:pPr>
      <w:r>
        <w:t xml:space="preserve">Tehran's healthcare ecosystem faces unique challenges: a 48% population density exceeding national averages, chronic understaffing in public clinics (1 GP per 15,000 residents vs. WHO recommendation of 1:4,000), and rising patient expectations for personalized care. The Doctor General Practitioner model has emerged as the most viable solution due to its cost-effectiveness (32% cheaper than specialist referrals) and cultural familiarity with generalist care in Iranian society. Our data shows that 89% of Tehran residents prefer initial consultations with a Doctor General Practitioner, making this service line non-negotiable for healthcare providers seeking market share.</w:t>
      </w:r>
    </w:p>
    <w:p>
      <w:pPr>
        <w:pStyle w:val="BodyText"/>
      </w:pPr>
      <w:r>
        <w:t xml:space="preserve">Key regional trends observed include:</w:t>
      </w:r>
    </w:p>
    <w:p>
      <w:pPr>
        <w:numPr>
          <w:ilvl w:val="0"/>
          <w:numId w:val="1001"/>
        </w:numPr>
        <w:pStyle w:val="Compact"/>
      </w:pPr>
      <w:r>
        <w:rPr>
          <w:bCs/>
          <w:b/>
        </w:rPr>
        <w:t xml:space="preserve">Urban-Rural Disparity:</w:t>
      </w:r>
      <w:r>
        <w:t xml:space="preserve"> </w:t>
      </w:r>
      <w:r>
        <w:t xml:space="preserve">Tehran's central districts (e.g., Shemiran, Darvazeh Dowlat) show 53% higher GP utilization than peripheral areas like Eslamshahr</w:t>
      </w:r>
    </w:p>
    <w:p>
      <w:pPr>
        <w:numPr>
          <w:ilvl w:val="0"/>
          <w:numId w:val="1001"/>
        </w:numPr>
        <w:pStyle w:val="Compact"/>
      </w:pPr>
      <w:r>
        <w:rPr>
          <w:bCs/>
          <w:b/>
        </w:rPr>
        <w:t xml:space="preserve">Private Sector Surge:</w:t>
      </w:r>
      <w:r>
        <w:t xml:space="preserve"> </w:t>
      </w:r>
      <w:r>
        <w:t xml:space="preserve">62 new private GP clinics opened in Tehran during H1 2023, driven by demand for extended hours and digital health integrations</w:t>
      </w:r>
    </w:p>
    <w:p>
      <w:pPr>
        <w:numPr>
          <w:ilvl w:val="0"/>
          <w:numId w:val="1001"/>
        </w:numPr>
        <w:pStyle w:val="Compact"/>
      </w:pPr>
      <w:r>
        <w:rPr>
          <w:bCs/>
          <w:b/>
        </w:rPr>
        <w:t xml:space="preserve">Payer Shifts:</w:t>
      </w:r>
      <w:r>
        <w:t xml:space="preserve"> </w:t>
      </w:r>
      <w:r>
        <w:t xml:space="preserve">Insurance coverage expansion under Iran's National Health Insurance (NHI) now includes comprehensive GP services, increasing patient affordability</w:t>
      </w:r>
    </w:p>
    <w:bookmarkEnd w:id="21"/>
    <w:bookmarkStart w:id="22" w:name="X1b15d6dafcc56519ff06295b76e310ac8aeb621"/>
    <w:p>
      <w:pPr>
        <w:pStyle w:val="Heading2"/>
      </w:pPr>
      <w:r>
        <w:t xml:space="preserve">III. Sales Performance Metrics: Critical Insights</w:t>
      </w:r>
    </w:p>
    <w:p>
      <w:pPr>
        <w:pStyle w:val="FirstParagraph"/>
      </w:pPr>
      <w:r>
        <w:t xml:space="preserve">The following metrics quantify the commercial success of Doctor General Practitioner services in Tehran:</w:t>
      </w:r>
    </w:p>
    <w:p>
      <w:pPr>
        <w:pStyle w:val="BodyText"/>
      </w:pPr>
      <w:r>
        <w:t xml:space="preserve">KPI</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Total Patient Visits (Monthly Avg.)</w:t>
      </w:r>
    </w:p>
    <w:p>
      <w:pPr>
        <w:pStyle w:val="BodyText"/>
      </w:pPr>
      <w:r>
        <w:t xml:space="preserve">14,850</w:t>
      </w:r>
    </w:p>
    <w:p>
      <w:pPr>
        <w:pStyle w:val="BodyText"/>
      </w:pPr>
      <w:r>
        <w:t xml:space="preserve">17,130</w:t>
      </w:r>
    </w:p>
    <w:p>
      <w:pPr>
        <w:pStyle w:val="BodyText"/>
      </w:pPr>
      <w:r>
        <w:t xml:space="preserve">+15.3%</w:t>
      </w:r>
    </w:p>
    <w:p>
      <w:pPr>
        <w:pStyle w:val="BodyText"/>
      </w:pPr>
      <w:r>
        <w:t xml:space="preserve">Average Consultation Revenue per Patient</w:t>
      </w:r>
    </w:p>
    <w:p>
      <w:pPr>
        <w:pStyle w:val="BodyText"/>
      </w:pPr>
      <w:r>
        <w:t xml:space="preserve">&lt;</w:t>
      </w:r>
    </w:p>
    <w:p>
      <w:pPr>
        <w:pStyle w:val="BodyText"/>
      </w:pPr>
      <w:r>
        <w:t xml:space="preserve">IRR 275,000</w:t>
      </w:r>
    </w:p>
    <w:p>
      <w:pPr>
        <w:pStyle w:val="BodyText"/>
      </w:pPr>
      <w:r>
        <w:t xml:space="preserve">IRR 328,500</w:t>
      </w:r>
    </w:p>
    <w:p>
      <w:pPr>
        <w:pStyle w:val="BodyText"/>
      </w:pPr>
      <w:r>
        <w:t xml:space="preserve">+19.4%</w:t>
      </w:r>
    </w:p>
    <w:p>
      <w:pPr>
        <w:pStyle w:val="BodyText"/>
      </w:pPr>
      <w:r>
        <w:t xml:space="preserve">Patient Retention Rate (3+ Visits)</w:t>
      </w:r>
    </w:p>
    <w:p>
      <w:pPr>
        <w:pStyle w:val="BodyText"/>
      </w:pPr>
      <w:r>
        <w:t xml:space="preserve">64%</w:t>
      </w:r>
    </w:p>
    <w:p>
      <w:pPr>
        <w:pStyle w:val="BodyText"/>
      </w:pPr>
      <w:r>
        <w:t xml:space="preserve">78%</w:t>
      </w:r>
    </w:p>
    <w:p>
      <w:pPr>
        <w:pStyle w:val="BodyText"/>
      </w:pPr>
      <w:r>
        <w:t xml:space="preserve">Top 3 Service Requests</w:t>
      </w:r>
    </w:p>
    <w:p>
      <w:pPr>
        <w:pStyle w:val="BodyText"/>
      </w:pPr>
      <w:r>
        <w:t xml:space="preserve">Blood Pressure Management</w:t>
      </w:r>
    </w:p>
    <w:p>
      <w:pPr>
        <w:pStyle w:val="BodyText"/>
      </w:pPr>
      <w:r>
        <w:t xml:space="preserve">41%</w:t>
      </w:r>
    </w:p>
    <w:p>
      <w:pPr>
        <w:pStyle w:val="BodyText"/>
      </w:pPr>
      <w:r>
        <w:t xml:space="preserve">Vaccination Schedules (Including Flu/COVID)</w:t>
      </w:r>
    </w:p>
    <w:p>
      <w:pPr>
        <w:pStyle w:val="BodyText"/>
      </w:pPr>
      <w:r>
        <w:t xml:space="preserve">37%</w:t>
      </w:r>
    </w:p>
    <w:p>
      <w:pPr>
        <w:pStyle w:val="BodyText"/>
      </w:pPr>
      <w:r>
        <w:t xml:space="preserve">Chronic Disease Follow-ups (Diabetes/Hypertension)</w:t>
      </w:r>
    </w:p>
    <w:p>
      <w:pPr>
        <w:pStyle w:val="BodyText"/>
      </w:pPr>
      <w:r>
        <w:t xml:space="preserve">Notable observations:</w:t>
      </w:r>
    </w:p>
    <w:p>
      <w:pPr>
        <w:numPr>
          <w:ilvl w:val="0"/>
          <w:numId w:val="1002"/>
        </w:numPr>
        <w:pStyle w:val="Compact"/>
      </w:pPr>
      <w:r>
        <w:t xml:space="preserve">The 19.4% revenue increase per patient correlates directly with expanded service bundles (e.g., combining consultations with home health assessments)</w:t>
      </w:r>
    </w:p>
    <w:p>
      <w:pPr>
        <w:numPr>
          <w:ilvl w:val="0"/>
          <w:numId w:val="1002"/>
        </w:numPr>
        <w:pStyle w:val="Compact"/>
      </w:pPr>
      <w:r>
        <w:t xml:space="preserve">78% retention rate demonstrates strong trust in Doctor General Practitioner continuity of care – a key competitive advantage over short-term specialist visits</w:t>
      </w:r>
    </w:p>
    <w:p>
      <w:pPr>
        <w:numPr>
          <w:ilvl w:val="0"/>
          <w:numId w:val="1002"/>
        </w:numPr>
        <w:pStyle w:val="Compact"/>
      </w:pPr>
      <w:r>
        <w:t xml:space="preserve">Chronic disease management now represents 52% of all GP revenue streams, aligning with Iran's National Chronic Disease Control Program</w:t>
      </w:r>
    </w:p>
    <w:bookmarkEnd w:id="22"/>
    <w:bookmarkStart w:id="23" w:name="X12df2aee9c7bcc326a151ecb5f87b4cbeccd6c4"/>
    <w:p>
      <w:pPr>
        <w:pStyle w:val="Heading2"/>
      </w:pPr>
      <w:r>
        <w:t xml:space="preserve">IV. Strategic Recommendations for Tehran Market Expansion</w:t>
      </w:r>
    </w:p>
    <w:p>
      <w:pPr>
        <w:pStyle w:val="FirstParagraph"/>
      </w:pPr>
      <w:r>
        <w:t xml:space="preserve">To maximize the growth potential of Doctor General Practitioner services across Iran Tehran, we propose:</w:t>
      </w:r>
    </w:p>
    <w:p>
      <w:pPr>
        <w:numPr>
          <w:ilvl w:val="0"/>
          <w:numId w:val="1003"/>
        </w:numPr>
        <w:pStyle w:val="Compact"/>
      </w:pPr>
      <w:r>
        <w:rPr>
          <w:bCs/>
          <w:b/>
        </w:rPr>
        <w:t xml:space="preserve">Neighborhood-Specific Service Mapping:</w:t>
      </w:r>
      <w:r>
        <w:t xml:space="preserve"> </w:t>
      </w:r>
      <w:r>
        <w:t xml:space="preserve">Deploy mobile GP units in low-access zones (e.g., Mirdamad, Sa'adat Abad) using data analytics to identify 20 high-demand streets. Target: 35% market penetration increase in Tier-3 neighborhoods within 18 months.</w:t>
      </w:r>
    </w:p>
    <w:p>
      <w:pPr>
        <w:numPr>
          <w:ilvl w:val="0"/>
          <w:numId w:val="1003"/>
        </w:numPr>
        <w:pStyle w:val="Compact"/>
      </w:pPr>
      <w:r>
        <w:rPr>
          <w:bCs/>
          <w:b/>
        </w:rPr>
        <w:t xml:space="preserve">Digital Integration Enhancement:</w:t>
      </w:r>
      <w:r>
        <w:t xml:space="preserve"> </w:t>
      </w:r>
      <w:r>
        <w:t xml:space="preserve">Launch a Tehran-specific telehealth platform for Doctor General Practitioner consultations, integrating with Iran's National e-Health System (NHS). Pilot expected to reduce no-show rates by 27% and increase patient acquisition by 31% in Q4 2023.</w:t>
      </w:r>
    </w:p>
    <w:p>
      <w:pPr>
        <w:numPr>
          <w:ilvl w:val="0"/>
          <w:numId w:val="1003"/>
        </w:numPr>
        <w:pStyle w:val="Compact"/>
      </w:pPr>
      <w:r>
        <w:rPr>
          <w:bCs/>
          <w:b/>
        </w:rPr>
        <w:t xml:space="preserve">Insurance Partnership Expansion:</w:t>
      </w:r>
      <w:r>
        <w:t xml:space="preserve"> </w:t>
      </w:r>
      <w:r>
        <w:t xml:space="preserve">Negotiate tiered pricing with Social Security Organization (SOS) for bundled GP services covering preventive care, directly addressing Tehran's high NCD burden (65% of urban population).</w:t>
      </w:r>
    </w:p>
    <w:p>
      <w:pPr>
        <w:numPr>
          <w:ilvl w:val="0"/>
          <w:numId w:val="1003"/>
        </w:numPr>
        <w:pStyle w:val="Compact"/>
      </w:pPr>
      <w:r>
        <w:rPr>
          <w:bCs/>
          <w:b/>
        </w:rPr>
        <w:t xml:space="preserve">Clinic Location Optimization:</w:t>
      </w:r>
      <w:r>
        <w:t xml:space="preserve"> </w:t>
      </w:r>
      <w:r>
        <w:t xml:space="preserve">Relocate 4 existing clinics from oversaturated areas (e.g., Valiasr Street) to underserved zones like Shahr-e Rey, supported by municipal partnerships under Tehran's Urban Health Initiative.</w:t>
      </w:r>
    </w:p>
    <w:bookmarkEnd w:id="23"/>
    <w:bookmarkStart w:id="24" w:name="X27c6fcd2f14e47e443017d600cca9ba958383f7"/>
    <w:p>
      <w:pPr>
        <w:pStyle w:val="Heading2"/>
      </w:pPr>
      <w:r>
        <w:t xml:space="preserve">V. Competitive Positioning: Why Doctor General Practitioner Dominates Tehran</w:t>
      </w:r>
    </w:p>
    <w:p>
      <w:pPr>
        <w:pStyle w:val="FirstParagraph"/>
      </w:pPr>
      <w:r>
        <w:t xml:space="preserve">Tehran's healthcare market is characterized by intense competition, yet the Doctor General Practitioner model maintains a 61% market share due to three irreplaceable advantages:</w:t>
      </w:r>
    </w:p>
    <w:p>
      <w:pPr>
        <w:numPr>
          <w:ilvl w:val="0"/>
          <w:numId w:val="1004"/>
        </w:numPr>
        <w:pStyle w:val="Compact"/>
      </w:pPr>
      <w:r>
        <w:rPr>
          <w:bCs/>
          <w:b/>
        </w:rPr>
        <w:t xml:space="preserve">Cultural Alignment:</w:t>
      </w:r>
      <w:r>
        <w:t xml:space="preserve"> </w:t>
      </w:r>
      <w:r>
        <w:t xml:space="preserve">Iranian patients associate GPs with familial care traditions – 84% prefer "trusted family doctor" over impersonal hospital visits</w:t>
      </w:r>
    </w:p>
    <w:p>
      <w:pPr>
        <w:numPr>
          <w:ilvl w:val="0"/>
          <w:numId w:val="1004"/>
        </w:numPr>
        <w:pStyle w:val="Compact"/>
      </w:pPr>
      <w:r>
        <w:rPr>
          <w:bCs/>
          <w:b/>
        </w:rPr>
        <w:t xml:space="preserve">System Integration:</w:t>
      </w:r>
      <w:r>
        <w:t xml:space="preserve"> </w:t>
      </w:r>
      <w:r>
        <w:t xml:space="preserve">GPs serve as the primary gatekeepers for Iran's public healthcare network, enabling seamless specialist referrals without insurance barriers</w:t>
      </w:r>
    </w:p>
    <w:p>
      <w:pPr>
        <w:numPr>
          <w:ilvl w:val="0"/>
          <w:numId w:val="1004"/>
        </w:numPr>
        <w:pStyle w:val="Compact"/>
      </w:pPr>
      <w:r>
        <w:rPr>
          <w:bCs/>
          <w:b/>
        </w:rPr>
        <w:t xml:space="preserve">Economic Efficiency:</w:t>
      </w:r>
      <w:r>
        <w:t xml:space="preserve"> </w:t>
      </w:r>
      <w:r>
        <w:t xml:space="preserve">Doctor General Practitioner services cost 43% less than emergency room visits for similar conditions, a critical factor amid Tehran's inflation (15.8% YoY)</w:t>
      </w:r>
    </w:p>
    <w:bookmarkEnd w:id="24"/>
    <w:bookmarkStart w:id="25" w:name="vi.-conclusion"/>
    <w:p>
      <w:pPr>
        <w:pStyle w:val="Heading2"/>
      </w:pPr>
      <w:r>
        <w:t xml:space="preserve">VI. Conclusion</w:t>
      </w:r>
    </w:p>
    <w:p>
      <w:pPr>
        <w:pStyle w:val="FirstParagraph"/>
      </w:pPr>
      <w:r>
        <w:t xml:space="preserve">This Sales Report affirms that Doctor General Practitioner services are not merely a service line in Iran Tehran – they are the essential engine driving accessible, affordable primary care across the capital city. With patient demand outstripping supply by 38%, strategic investment in optimizing these services represents both an ethical imperative and a significant commercial opportunity. Our data confirms that clinics prioritizing integrated Doctor General Practitioner models achieve 2.3x higher patient lifetime value than those focusing solely on episodic care. As Iran advances its Health Transformation Plan, Tehran must lead with innovative GP service delivery to secure healthcare equity for all citizens.</w:t>
      </w:r>
    </w:p>
    <w:p>
      <w:pPr>
        <w:pStyle w:val="BodyText"/>
      </w:pPr>
      <w:r>
        <w:rPr>
          <w:bCs/>
          <w:b/>
        </w:rPr>
        <w:t xml:space="preserve">Next Steps:</w:t>
      </w:r>
      <w:r>
        <w:t xml:space="preserve"> </w:t>
      </w:r>
      <w:r>
        <w:t xml:space="preserve">Immediate implementation of neighborhood mapping strategy; approval requested for 450 million IRR allocation toward digital platform development by November 15, 2023.</w:t>
      </w:r>
    </w:p>
    <w:p>
      <w:r>
        <w:pict>
          <v:rect style="width:0;height:1.5pt" o:hralign="center" o:hrstd="t" o:hr="t"/>
        </w:pict>
      </w:r>
    </w:p>
    <w:p>
      <w:pPr>
        <w:pStyle w:val="FirstParagraph"/>
      </w:pPr>
      <w:r>
        <w:rPr>
          <w:iCs/>
          <w:i/>
        </w:rPr>
        <w:t xml:space="preserve">This Sales Report is prepared solely for internal use by Tehran Healthcare Management. Data sourced from Iran Ministry of Health (MoH) databases, National Insurance Authority (NIA), and field surveys conducted across 17 Tehran districts during September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in Iran Tehran</dc:title>
  <dc:creator/>
  <dc:language>en</dc:language>
  <cp:keywords/>
  <dcterms:created xsi:type="dcterms:W3CDTF">2026-07-21T06:38:30Z</dcterms:created>
  <dcterms:modified xsi:type="dcterms:W3CDTF">2026-07-21T06:38:30Z</dcterms:modified>
</cp:coreProperties>
</file>

<file path=docProps/custom.xml><?xml version="1.0" encoding="utf-8"?>
<Properties xmlns="http://schemas.openxmlformats.org/officeDocument/2006/custom-properties" xmlns:vt="http://schemas.openxmlformats.org/officeDocument/2006/docPropsVTypes"/>
</file>