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13925793d78c41c57600a29e91c09fdc05e261e"/>
    <w:p>
      <w:pPr>
        <w:pStyle w:val="Heading1"/>
      </w:pPr>
      <w:r>
        <w:t xml:space="preserve">Comprehensive Sales Report: Doctor General Practitioner Services in Israel Tel Aviv</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Healthcare Solutions Division</w:t>
      </w:r>
    </w:p>
    <w:p>
      <w:pPr>
        <w:pStyle w:val="BodyText"/>
      </w:pP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market trends, and strategic initiatives for our Doctor General Practitioner (GP) service portfolio within Israel Tel Aviv. As Tel Aviv emerges as Israel's premier healthcare innovation hub, our focus on serving General Practitioners has driven a 17% year-over-year revenue increase. With over 420 registered Doctor General Practitioners operating across Tel Aviv's bustling medical district, this report underscores the critical alignment between our solutions and the evolving needs of primary care providers in Israel's most dynamic urban center.</w:t>
      </w:r>
    </w:p>
    <w:bookmarkEnd w:id="20"/>
    <w:bookmarkStart w:id="21" w:name="X18734af12bcf7ebc904901d66b0bb4d1bd1042c"/>
    <w:p>
      <w:pPr>
        <w:pStyle w:val="Heading2"/>
      </w:pPr>
      <w:r>
        <w:t xml:space="preserve">Market Analysis: Israel Tel Aviv Healthcare Landscape</w:t>
      </w:r>
    </w:p>
    <w:p>
      <w:pPr>
        <w:pStyle w:val="FirstParagraph"/>
      </w:pPr>
      <w:r>
        <w:t xml:space="preserve">The Tel Aviv metropolitan area represents 18% of Israel's total healthcare market, with General Practitioners serving as the frontline of primary care for over 2.4 million residents. Our analysis reveals three pivotal trends shaping the Doctor General Practitioner sector in Israel Tel Aviv:</w:t>
      </w:r>
    </w:p>
    <w:p>
      <w:pPr>
        <w:numPr>
          <w:ilvl w:val="0"/>
          <w:numId w:val="1001"/>
        </w:numPr>
        <w:pStyle w:val="Compact"/>
      </w:pPr>
      <w:r>
        <w:rPr>
          <w:bCs/>
          <w:b/>
        </w:rPr>
        <w:t xml:space="preserve">Technology Adoption Surge:</w:t>
      </w:r>
      <w:r>
        <w:t xml:space="preserve"> </w:t>
      </w:r>
      <w:r>
        <w:t xml:space="preserve">78% of Doctor General Practitioners in Tel Aviv now utilize digital health platforms, up from 52% in Q3 2021</w:t>
      </w:r>
    </w:p>
    <w:p>
      <w:pPr>
        <w:numPr>
          <w:ilvl w:val="0"/>
          <w:numId w:val="1001"/>
        </w:numPr>
        <w:pStyle w:val="Compact"/>
      </w:pPr>
      <w:r>
        <w:rPr>
          <w:bCs/>
          <w:b/>
        </w:rPr>
        <w:t xml:space="preserve">Patient Volume Growth:</w:t>
      </w:r>
      <w:r>
        <w:t xml:space="preserve"> </w:t>
      </w:r>
      <w:r>
        <w:t xml:space="preserve">Average daily patient consultations per GP increased by 14% following the Ministry of Health's recent primary care expansion initiative</w:t>
      </w:r>
    </w:p>
    <w:p>
      <w:pPr>
        <w:numPr>
          <w:ilvl w:val="0"/>
          <w:numId w:val="1001"/>
        </w:numPr>
        <w:pStyle w:val="Compact"/>
      </w:pPr>
      <w:r>
        <w:rPr>
          <w:bCs/>
          <w:b/>
        </w:rPr>
        <w:t xml:space="preserve">Competitive Intensity:</w:t>
      </w:r>
      <w:r>
        <w:t xml:space="preserve"> </w:t>
      </w:r>
      <w:r>
        <w:t xml:space="preserve">Four major health tech competitors have intensified focus on Tel Aviv, demanding innovative differentiation in our Doctor General Practitioner service offerings</w:t>
      </w:r>
    </w:p>
    <w:p>
      <w:pPr>
        <w:pStyle w:val="FirstParagraph"/>
      </w:pPr>
      <w:r>
        <w:t xml:space="preserve">Notably, Tel Aviv's unique demographic profile—characterized by a 35% foreign-born population with diverse healthcare needs—creates exceptional opportunity for specialized Doctor General Practitioner solutions that address linguistic and cultural barriers.</w:t>
      </w:r>
    </w:p>
    <w:bookmarkEnd w:id="21"/>
    <w:bookmarkStart w:id="25" w:name="sales-performance-highlights-q3-2023"/>
    <w:p>
      <w:pPr>
        <w:pStyle w:val="Heading2"/>
      </w:pPr>
      <w:r>
        <w:t xml:space="preserve">Sales Performance Highlights (Q3 2023)</w:t>
      </w:r>
    </w:p>
    <w:bookmarkStart w:id="22" w:name="revenue-growth"/>
    <w:p>
      <w:pPr>
        <w:pStyle w:val="Heading3"/>
      </w:pPr>
      <w:r>
        <w:t xml:space="preserve">Revenue Growth</w:t>
      </w:r>
    </w:p>
    <w:p>
      <w:pPr>
        <w:pStyle w:val="FirstParagraph"/>
      </w:pPr>
      <w:r>
        <w:t xml:space="preserve">₪2,845,000 (vs. ₪2,435,000 in Q2) | +17% YoY</w:t>
      </w:r>
    </w:p>
    <w:p>
      <w:pPr>
        <w:pStyle w:val="BodyText"/>
      </w:pPr>
      <w:r>
        <w:t xml:space="preserve">Market share increased to 19.7% from 16.3% in Tel Aviv GP sector</w:t>
      </w:r>
    </w:p>
    <w:bookmarkEnd w:id="22"/>
    <w:bookmarkStart w:id="23" w:name="new-client-acquisition"/>
    <w:p>
      <w:pPr>
        <w:pStyle w:val="Heading3"/>
      </w:pPr>
      <w:r>
        <w:t xml:space="preserve">New Client Acquisition</w:t>
      </w:r>
    </w:p>
    <w:p>
      <w:pPr>
        <w:pStyle w:val="FirstParagraph"/>
      </w:pPr>
      <w:r>
        <w:t xml:space="preserve">42 new Doctor General Practitioner clinics onboarded (including 12 in Tel Aviv Central District)</w:t>
      </w:r>
    </w:p>
    <w:p>
      <w:pPr>
        <w:pStyle w:val="BodyText"/>
      </w:pPr>
      <w:r>
        <w:t xml:space="preserve">Customer acquisition cost reduced to ₪8,950 vs. ₪10,400 previously</w:t>
      </w:r>
    </w:p>
    <w:bookmarkEnd w:id="23"/>
    <w:bookmarkStart w:id="24" w:name="product-penetration"/>
    <w:p>
      <w:pPr>
        <w:pStyle w:val="Heading3"/>
      </w:pPr>
      <w:r>
        <w:t xml:space="preserve">Product Penetration</w:t>
      </w:r>
    </w:p>
    <w:p>
      <w:pPr>
        <w:pStyle w:val="FirstParagraph"/>
      </w:pPr>
      <w:r>
        <w:t xml:space="preserve">EMR system adoption increased to 89% (from 74%) among Tel Aviv GPs</w:t>
      </w:r>
    </w:p>
    <w:p>
      <w:pPr>
        <w:pStyle w:val="BodyText"/>
      </w:pPr>
      <w:r>
        <w:t xml:space="preserve">Telehealth module usage grew by 215% in Q3</w:t>
      </w:r>
    </w:p>
    <w:bookmarkEnd w:id="24"/>
    <w:bookmarkEnd w:id="25"/>
    <w:bookmarkStart w:id="26" w:name="Xe43fb3166d3e63432e4916a5cec239e8b500662"/>
    <w:p>
      <w:pPr>
        <w:pStyle w:val="Heading2"/>
      </w:pPr>
      <w:r>
        <w:t xml:space="preserve">Strategic Account Development in Israel Tel Aviv</w:t>
      </w:r>
    </w:p>
    <w:p>
      <w:pPr>
        <w:pStyle w:val="FirstParagraph"/>
      </w:pPr>
      <w:r>
        <w:t xml:space="preserve">Our success stems from targeted engagement with key healthcare clusters across Tel Aviv. The following accounts represent our highest-value Doctor General Practitioner partnerships: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Account Name</w:t>
            </w:r>
          </w:p>
        </w:tc>
        <w:tc>
          <w:tcPr/>
          <w:p>
            <w:pPr>
              <w:pStyle w:val="Compact"/>
              <w:jc w:val="left"/>
            </w:pPr>
            <w:r>
              <w:t xml:space="preserve">GP Practice Size</w:t>
            </w:r>
          </w:p>
        </w:tc>
        <w:tc>
          <w:tcPr/>
          <w:p>
            <w:pPr>
              <w:pStyle w:val="Compact"/>
              <w:jc w:val="left"/>
            </w:pPr>
            <w:r>
              <w:t xml:space="preserve">Revenue Contribution (Q3)</w:t>
            </w:r>
          </w:p>
        </w:tc>
        <w:tc>
          <w:tcPr/>
          <w:p>
            <w:pPr>
              <w:pStyle w:val="Compact"/>
              <w:jc w:val="left"/>
            </w:pPr>
            <w:r>
              <w:t xml:space="preserve">Strategic Initiative</w:t>
            </w:r>
          </w:p>
        </w:tc>
      </w:tr>
      <w:tr>
        <w:tc>
          <w:tcPr/>
          <w:p>
            <w:pPr>
              <w:pStyle w:val="Compact"/>
              <w:jc w:val="left"/>
            </w:pPr>
            <w:r>
              <w:t xml:space="preserve">Tel Aviv Primary Care Network</w:t>
            </w:r>
          </w:p>
        </w:tc>
        <w:tc>
          <w:tcPr/>
          <w:p>
            <w:pPr>
              <w:pStyle w:val="Compact"/>
              <w:jc w:val="left"/>
            </w:pPr>
            <w:r>
              <w:t xml:space="preserve">28 GPs | 12 Clinics</w:t>
            </w:r>
          </w:p>
        </w:tc>
        <w:tc>
          <w:tcPr/>
          <w:p>
            <w:pPr>
              <w:pStyle w:val="Compact"/>
              <w:jc w:val="left"/>
            </w:pPr>
            <w:r>
              <w:t xml:space="preserve">₪715,000</w:t>
            </w:r>
          </w:p>
        </w:tc>
        <w:tc>
          <w:tcPr/>
          <w:p>
            <w:pPr>
              <w:pStyle w:val="Compact"/>
              <w:jc w:val="left"/>
            </w:pPr>
            <w:r>
              <w:t xml:space="preserve">Customized multilingual EMR integration</w:t>
            </w:r>
          </w:p>
        </w:tc>
      </w:tr>
      <w:tr>
        <w:tc>
          <w:tcPr/>
          <w:p>
            <w:pPr>
              <w:pStyle w:val="Compact"/>
              <w:jc w:val="left"/>
            </w:pPr>
            <w:r>
              <w:t xml:space="preserve">Nefesh B'Nefesh Medical Center (Kiryat Ono)</w:t>
            </w:r>
          </w:p>
        </w:tc>
        <w:tc>
          <w:tcPr/>
          <w:p>
            <w:pPr>
              <w:pStyle w:val="Compact"/>
              <w:jc w:val="left"/>
            </w:pPr>
            <w:r>
              <w:t xml:space="preserve">15 GPs | 4 Clinics</w:t>
            </w:r>
          </w:p>
        </w:tc>
        <w:tc>
          <w:tcPr/>
          <w:p>
            <w:pPr>
              <w:pStyle w:val="Compact"/>
              <w:jc w:val="left"/>
            </w:pPr>
            <w:r>
              <w:t xml:space="preserve">₪398,000</w:t>
            </w:r>
          </w:p>
        </w:tc>
        <w:tc>
          <w:tcPr/>
          <w:p>
            <w:pPr>
              <w:pStyle w:val="Compact"/>
              <w:jc w:val="left"/>
            </w:pPr>
            <w:r>
              <w:t xml:space="preserve">Dedicated immigrant health portal</w:t>
            </w:r>
          </w:p>
        </w:tc>
      </w:tr>
      <w:tr>
        <w:tc>
          <w:tcPr/>
          <w:p>
            <w:pPr>
              <w:pStyle w:val="Compact"/>
              <w:jc w:val="left"/>
            </w:pPr>
            <w:r>
              <w:t xml:space="preserve">Tel Aviv University Health Services</w:t>
            </w:r>
          </w:p>
        </w:tc>
        <w:tc>
          <w:tcPr/>
          <w:p>
            <w:pPr>
              <w:pStyle w:val="Compact"/>
              <w:jc w:val="left"/>
            </w:pPr>
            <w:r>
              <w:t xml:space="preserve">35 GPs | 7 Clinics</w:t>
            </w:r>
          </w:p>
        </w:tc>
        <w:tc>
          <w:tcPr/>
          <w:p>
            <w:pPr>
              <w:pStyle w:val="Compact"/>
              <w:jc w:val="left"/>
            </w:pPr>
            <w:r>
              <w:t xml:space="preserve">₪642,000</w:t>
            </w:r>
          </w:p>
        </w:tc>
        <w:tc>
          <w:tcPr/>
          <w:p>
            <w:pPr>
              <w:pStyle w:val="Compact"/>
              <w:jc w:val="left"/>
            </w:pPr>
            <w:r>
              <w:t xml:space="preserve">Academic research data integration</w:t>
            </w:r>
          </w:p>
        </w:tc>
      </w:tr>
    </w:tbl>
    <w:p>
      <w:pPr>
        <w:pStyle w:val="BodyText"/>
      </w:pPr>
      <w:r>
        <w:t xml:space="preserve">These strategic accounts collectively represent 38% of our Tel Aviv GP revenue and serve as critical reference points for expanding our Doctor General Practitioner service footprint across Israel's largest urban center.</w:t>
      </w:r>
    </w:p>
    <w:bookmarkEnd w:id="26"/>
    <w:bookmarkStart w:id="27" w:name="X78a85072f9c17815cd16f97d3956380498976eb"/>
    <w:p>
      <w:pPr>
        <w:pStyle w:val="Heading2"/>
      </w:pPr>
      <w:r>
        <w:t xml:space="preserve">Addressing Market Challenges in Israel Tel Aviv</w:t>
      </w:r>
    </w:p>
    <w:p>
      <w:pPr>
        <w:pStyle w:val="FirstParagraph"/>
      </w:pPr>
      <w:r>
        <w:t xml:space="preserve">Despite strong performance, we identified three key challenges requiring immediate attention:</w:t>
      </w:r>
    </w:p>
    <w:p>
      <w:pPr>
        <w:numPr>
          <w:ilvl w:val="0"/>
          <w:numId w:val="1002"/>
        </w:numPr>
        <w:pStyle w:val="Compact"/>
      </w:pPr>
      <w:r>
        <w:rPr>
          <w:bCs/>
          <w:b/>
        </w:rPr>
        <w:t xml:space="preserve">Regulatory Complexity:</w:t>
      </w:r>
      <w:r>
        <w:t xml:space="preserve"> </w:t>
      </w:r>
      <w:r>
        <w:t xml:space="preserve">Navigating Israel's unique healthcare accreditation system remains challenging for new Doctor General Practitioner clients</w:t>
      </w:r>
    </w:p>
    <w:p>
      <w:pPr>
        <w:numPr>
          <w:ilvl w:val="0"/>
          <w:numId w:val="1002"/>
        </w:numPr>
        <w:pStyle w:val="Compact"/>
      </w:pPr>
      <w:r>
        <w:rPr>
          <w:bCs/>
          <w:b/>
        </w:rPr>
        <w:t xml:space="preserve">Competitive Pressure:</w:t>
      </w:r>
      <w:r>
        <w:t xml:space="preserve"> </w:t>
      </w:r>
      <w:r>
        <w:t xml:space="preserve">Rivals have reduced pricing by 8-12% targeting Tel Aviv clinics</w:t>
      </w:r>
    </w:p>
    <w:p>
      <w:pPr>
        <w:numPr>
          <w:ilvl w:val="0"/>
          <w:numId w:val="1002"/>
        </w:numPr>
        <w:pStyle w:val="Compact"/>
      </w:pPr>
      <w:r>
        <w:rPr>
          <w:bCs/>
          <w:b/>
        </w:rPr>
        <w:t xml:space="preserve">Tel Aviv-Specific Logistics:</w:t>
      </w:r>
      <w:r>
        <w:t xml:space="preserve"> </w:t>
      </w:r>
      <w:r>
        <w:t xml:space="preserve">High clinic density creates unique scheduling and implementation hurdles compared to other Israeli regions</w:t>
      </w:r>
    </w:p>
    <w:p>
      <w:pPr>
        <w:pStyle w:val="FirstParagraph"/>
      </w:pPr>
      <w:r>
        <w:t xml:space="preserve">To counter these challenges, we launched the "Tel Aviv GP Accelerator Program" in August 2023, providing waived onboarding fees and dedicated local support staff for all new Doctor General Practitioner sign-ups in Tel Aviv.</w:t>
      </w:r>
    </w:p>
    <w:bookmarkEnd w:id="27"/>
    <w:bookmarkStart w:id="28" w:name="future-growth-strategy-q4-2023-beyond"/>
    <w:p>
      <w:pPr>
        <w:pStyle w:val="Heading2"/>
      </w:pPr>
      <w:r>
        <w:t xml:space="preserve">Future Growth Strategy (Q4 2023 &amp; Beyond)</w:t>
      </w:r>
    </w:p>
    <w:p>
      <w:pPr>
        <w:pStyle w:val="FirstParagraph"/>
      </w:pPr>
      <w:r>
        <w:t xml:space="preserve">Our strategic roadmap focuses on deepening engagement with Israel Tel Aviv's Doctor General Practitioner community through:</w:t>
      </w:r>
    </w:p>
    <w:p>
      <w:pPr>
        <w:numPr>
          <w:ilvl w:val="0"/>
          <w:numId w:val="1003"/>
        </w:numPr>
        <w:pStyle w:val="Compact"/>
      </w:pPr>
      <w:r>
        <w:rPr>
          <w:bCs/>
          <w:b/>
        </w:rPr>
        <w:t xml:space="preserve">Localized Product Development:</w:t>
      </w:r>
      <w:r>
        <w:t xml:space="preserve"> </w:t>
      </w:r>
      <w:r>
        <w:t xml:space="preserve">Creating Hebrew/French/German language support modules specifically for Tel Aviv's international patient base</w:t>
      </w:r>
    </w:p>
    <w:p>
      <w:pPr>
        <w:numPr>
          <w:ilvl w:val="0"/>
          <w:numId w:val="1003"/>
        </w:numPr>
        <w:pStyle w:val="Compact"/>
      </w:pPr>
      <w:r>
        <w:rPr>
          <w:bCs/>
          <w:b/>
        </w:rPr>
        <w:t xml:space="preserve">Dedicated Tel Aviv Account Managers:</w:t>
      </w:r>
      <w:r>
        <w:t xml:space="preserve"> </w:t>
      </w:r>
      <w:r>
        <w:t xml:space="preserve">Adding three new GP-focused specialists to our local sales team</w:t>
      </w:r>
    </w:p>
    <w:p>
      <w:pPr>
        <w:numPr>
          <w:ilvl w:val="0"/>
          <w:numId w:val="1003"/>
        </w:numPr>
        <w:pStyle w:val="Compact"/>
      </w:pPr>
      <w:r>
        <w:rPr>
          <w:bCs/>
          <w:b/>
        </w:rPr>
        <w:t xml:space="preserve">Clinic Network Partnerships:</w:t>
      </w:r>
      <w:r>
        <w:t xml:space="preserve"> </w:t>
      </w:r>
      <w:r>
        <w:t xml:space="preserve">Formalizing relationships with 15+ major medical centers across Tel Aviv city limits</w:t>
      </w:r>
    </w:p>
    <w:p>
      <w:pPr>
        <w:numPr>
          <w:ilvl w:val="0"/>
          <w:numId w:val="1003"/>
        </w:numPr>
        <w:pStyle w:val="Compact"/>
      </w:pPr>
      <w:r>
        <w:rPr>
          <w:bCs/>
          <w:b/>
        </w:rPr>
        <w:t xml:space="preserve">Predictive Health Analytics:</w:t>
      </w:r>
      <w:r>
        <w:t xml:space="preserve"> </w:t>
      </w:r>
      <w:r>
        <w:t xml:space="preserve">Launching AI-driven patient risk assessment tool for Tel Aviv GPs in Q1 2024</w:t>
      </w:r>
    </w:p>
    <w:p>
      <w:pPr>
        <w:pStyle w:val="FirstParagraph"/>
      </w:pPr>
      <w:r>
        <w:t xml:space="preserve">This approach directly responds to the Ministry of Health's 2023 primary care transformation initiative, positioning us as the technology partner of choice for Doctor General Practitioner practices across Israel Tel Aviv.</w:t>
      </w:r>
    </w:p>
    <w:bookmarkEnd w:id="28"/>
    <w:bookmarkStart w:id="29" w:name="conclusion"/>
    <w:p>
      <w:pPr>
        <w:pStyle w:val="Heading2"/>
      </w:pPr>
      <w:r>
        <w:t xml:space="preserve">Conclusion</w:t>
      </w:r>
    </w:p>
    <w:p>
      <w:pPr>
        <w:pStyle w:val="FirstParagraph"/>
      </w:pPr>
      <w:r>
        <w:t xml:space="preserve">The Q3 2023 Sales Report confirms Tel Aviv remains our highest-potential market in Israel for Doctor General Practitioner services. With 74% of all healthcare technology sales in the country concentrated in Tel Aviv metropolitan area, and General Practitioners serving as the critical entry point to Israel's integrated care system, our strategic focus on this segment delivers exceptional returns.</w:t>
      </w:r>
    </w:p>
    <w:p>
      <w:pPr>
        <w:pStyle w:val="BodyText"/>
      </w:pPr>
      <w:r>
        <w:t xml:space="preserve">Looking ahead, we project a minimum 22% revenue growth for Doctor General Practitioner services in Israel Tel Aviv during Q4 2023. Our continued investment in Tel Aviv-specific solutions – from multilingual platforms to location-based patient management tools – ensures we maintain our leadership position as the premier technology provider for Doctor General Practitioners across this vital healthcare hub. The synergy between our innovative solutions and the evolving needs of primary care providers in Israel Tel Aviv creates a sustainable growth engine that will define our market position for years to come.</w:t>
      </w:r>
    </w:p>
    <w:p>
      <w:pPr>
        <w:pStyle w:val="BodyText"/>
      </w:pPr>
      <w:r>
        <w:rPr>
          <w:bCs/>
          <w:b/>
        </w:rPr>
        <w:t xml:space="preserve">Key Takeaway:</w:t>
      </w:r>
      <w:r>
        <w:t xml:space="preserve"> </w:t>
      </w:r>
      <w:r>
        <w:t xml:space="preserve">Israel Tel Aviv's Doctor General Practitioner market represents not just our largest revenue segment (38% of total), but the strategic foundation for all future expansion across Israel's healthcare landscape. Every solution we develop must be validated against Tel Aviv's unique primary care environment to ensure maximum relevance and adoption.</w:t>
      </w:r>
    </w:p>
    <w:p>
      <w:pPr>
        <w:pStyle w:val="BodyText"/>
      </w:pPr>
      <w:r>
        <w:t xml:space="preserve">This Sales Report totals 947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Israel Tel Aviv</dc:title>
  <dc:creator/>
  <dc:language>en</dc:language>
  <cp:keywords/>
  <dcterms:created xsi:type="dcterms:W3CDTF">2026-07-23T13:46:53Z</dcterms:created>
  <dcterms:modified xsi:type="dcterms:W3CDTF">2026-07-23T13:46:53Z</dcterms:modified>
</cp:coreProperties>
</file>

<file path=docProps/custom.xml><?xml version="1.0" encoding="utf-8"?>
<Properties xmlns="http://schemas.openxmlformats.org/officeDocument/2006/custom-properties" xmlns:vt="http://schemas.openxmlformats.org/officeDocument/2006/docPropsVTypes"/>
</file>