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Market</w:t>
      </w:r>
      <w:r>
        <w:t xml:space="preserve"> </w:t>
      </w:r>
      <w:r>
        <w:t xml:space="preserve">Analysis</w:t>
      </w:r>
      <w:r>
        <w:t xml:space="preserve"> </w:t>
      </w:r>
      <w:r>
        <w:t xml:space="preserve">-</w:t>
      </w:r>
      <w:r>
        <w:t xml:space="preserve"> </w:t>
      </w:r>
      <w:r>
        <w:t xml:space="preserve">Milan,</w:t>
      </w:r>
      <w:r>
        <w:t xml:space="preserve"> </w:t>
      </w:r>
      <w:r>
        <w:t xml:space="preserve">Italy</w:t>
      </w:r>
    </w:p>
    <w:bookmarkStart w:id="30" w:name="X92258a1032ee8f940c6422dd121de2b0dabce7b"/>
    <w:p>
      <w:pPr>
        <w:pStyle w:val="Heading1"/>
      </w:pPr>
      <w:r>
        <w:t xml:space="preserve">Sales Report: Strategic Market Analysis for General Practitioner Services in Milan,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Technology Vendors &amp; Medical Service Providers</w:t>
      </w:r>
      <w:r>
        <w:br/>
      </w:r>
      <w:r>
        <w:rPr>
          <w:bCs/>
          <w:b/>
        </w:rPr>
        <w:t xml:space="preserve">Region Covered:</w:t>
      </w:r>
      <w:r>
        <w:t xml:space="preserve"> </w:t>
      </w:r>
      <w:r>
        <w:t xml:space="preserve">Milan Metropolitan Area, Italy</w:t>
      </w:r>
    </w:p>
    <w:bookmarkStart w:id="20" w:name="i.-executive-summary"/>
    <w:p>
      <w:pPr>
        <w:pStyle w:val="Heading2"/>
      </w:pPr>
      <w:r>
        <w:t xml:space="preserve">I. Executive Summary</w:t>
      </w:r>
    </w:p>
    <w:p>
      <w:pPr>
        <w:pStyle w:val="FirstParagraph"/>
      </w:pPr>
      <w:r>
        <w:t xml:space="preserve">This comprehensive Sales Report details the current market dynamics, growth trajectories, and strategic opportunities for vendors targeting General Practitioners (GPs) in Milan, Italy. As the economic and healthcare hub of Northern Italy, Milan presents a high-value marketplace with over 1400 active General Practitioners serving a densely populated urban center of 1.3 million residents within city limits and 8 million across the Metropolitan Area. The report underscores critical trends including digital transformation demands, aging population pressures, and evolving insurance reimbursement models—all directly impacting sales strategies for healthcare service providers operating in Italy's most competitive medical market.</w:t>
      </w:r>
    </w:p>
    <w:bookmarkEnd w:id="20"/>
    <w:bookmarkStart w:id="21" w:name="X824aa0fe8da5400752f5cab8f8ab963d17dec38"/>
    <w:p>
      <w:pPr>
        <w:pStyle w:val="Heading2"/>
      </w:pPr>
      <w:r>
        <w:t xml:space="preserve">II. Market Context: Doctor General Practitioner Landscape in Milan</w:t>
      </w:r>
    </w:p>
    <w:p>
      <w:pPr>
        <w:pStyle w:val="FirstParagraph"/>
      </w:pPr>
      <w:r>
        <w:t xml:space="preserve">General Practitioners remain the cornerstone of Italy's National Health Service (SSN), with Milan representing one of Europe's highest GP density regions at 1.8 practitioners per 1,000 residents—significantly above the national average of 1.3. In Milan alone, approximately 42% of all medical consultations occur in primary care settings, driven by:</w:t>
      </w:r>
    </w:p>
    <w:p>
      <w:pPr>
        <w:numPr>
          <w:ilvl w:val="0"/>
          <w:numId w:val="1001"/>
        </w:numPr>
        <w:pStyle w:val="Compact"/>
      </w:pPr>
      <w:r>
        <w:rPr>
          <w:bCs/>
          <w:b/>
        </w:rPr>
        <w:t xml:space="preserve">Demographic Pressure:</w:t>
      </w:r>
      <w:r>
        <w:t xml:space="preserve"> </w:t>
      </w:r>
      <w:r>
        <w:t xml:space="preserve">Milan's population is aging rapidly (19% over 65 years), requiring GPs to manage complex chronic conditions like diabetes and hypertension at rates 28% above national averages.</w:t>
      </w:r>
    </w:p>
    <w:p>
      <w:pPr>
        <w:numPr>
          <w:ilvl w:val="0"/>
          <w:numId w:val="1001"/>
        </w:numPr>
        <w:pStyle w:val="Compact"/>
      </w:pPr>
      <w:r>
        <w:rPr>
          <w:bCs/>
          <w:b/>
        </w:rPr>
        <w:t xml:space="preserve">Urbanization Challenges:</w:t>
      </w:r>
      <w:r>
        <w:t xml:space="preserve"> </w:t>
      </w:r>
      <w:r>
        <w:t xml:space="preserve">High patient volumes strain traditional practice models, with average GP workloads exceeding 35 patients daily in central districts like Brera and Centro Storico.</w:t>
      </w:r>
    </w:p>
    <w:p>
      <w:pPr>
        <w:numPr>
          <w:ilvl w:val="0"/>
          <w:numId w:val="1001"/>
        </w:numPr>
        <w:pStyle w:val="Compact"/>
      </w:pPr>
      <w:r>
        <w:rPr>
          <w:bCs/>
          <w:b/>
        </w:rPr>
        <w:t xml:space="preserve">SSN Reimbursement Shifts:</w:t>
      </w:r>
      <w:r>
        <w:t xml:space="preserve"> </w:t>
      </w:r>
      <w:r>
        <w:t xml:space="preserve">Recent reforms prioritize value-based care, creating demand for data-driven tools to prove clinical outcomes to the Italian National Health Service.</w:t>
      </w:r>
    </w:p>
    <w:bookmarkEnd w:id="21"/>
    <w:bookmarkStart w:id="25" w:name="X95d6b70732c9ba7ec43202364b06dc519ff1c11"/>
    <w:p>
      <w:pPr>
        <w:pStyle w:val="Heading2"/>
      </w:pPr>
      <w:r>
        <w:t xml:space="preserve">III. Critical Sales Opportunities for Vendors</w:t>
      </w:r>
    </w:p>
    <w:p>
      <w:pPr>
        <w:pStyle w:val="FirstParagraph"/>
      </w:pPr>
      <w:r>
        <w:t xml:space="preserve">This report identifies three high-priority sales segments where vendors can capture significant market share among Milanese General Practitioners:</w:t>
      </w:r>
    </w:p>
    <w:bookmarkStart w:id="22" w:name="a.-digital-health-platform-adoption"/>
    <w:p>
      <w:pPr>
        <w:pStyle w:val="Heading3"/>
      </w:pPr>
      <w:r>
        <w:t xml:space="preserve">A. Digital Health Platform Adoption</w:t>
      </w:r>
    </w:p>
    <w:p>
      <w:pPr>
        <w:pStyle w:val="FirstParagraph"/>
      </w:pPr>
      <w:r>
        <w:t xml:space="preserve">Only 37% of Milan GP practices use integrated electronic health records (EHRs) compliant with Italy's "Cartella Clinica Elettronica" standards. Vendors offering interoperable solutions that connect with regional health networks (e.g., Lombardy's Sistema Informativo Sanitario) can address acute needs. Top sales triggers include:</w:t>
      </w:r>
    </w:p>
    <w:p>
      <w:pPr>
        <w:numPr>
          <w:ilvl w:val="0"/>
          <w:numId w:val="1002"/>
        </w:numPr>
        <w:pStyle w:val="Compact"/>
      </w:pPr>
      <w:r>
        <w:t xml:space="preserve">Seamless integration with Italian billing systems (Sistema di Condivisione della Documentazione Clinica - SDC)</w:t>
      </w:r>
    </w:p>
    <w:p>
      <w:pPr>
        <w:numPr>
          <w:ilvl w:val="0"/>
          <w:numId w:val="1002"/>
        </w:numPr>
        <w:pStyle w:val="Compact"/>
      </w:pPr>
      <w:r>
        <w:t xml:space="preserve">Compliance with GDPR and Italian Data Protection Authority (Garante per la Protezione dei Dati Personali) requirements</w:t>
      </w:r>
    </w:p>
    <w:p>
      <w:pPr>
        <w:numPr>
          <w:ilvl w:val="0"/>
          <w:numId w:val="1002"/>
        </w:numPr>
        <w:pStyle w:val="Compact"/>
      </w:pPr>
      <w:r>
        <w:t xml:space="preserve">Pricing models aligned with SSN reimbursement schedules for telemedicine services (recently expanded to cover 42% of all consultations)</w:t>
      </w:r>
    </w:p>
    <w:bookmarkEnd w:id="22"/>
    <w:bookmarkStart w:id="23" w:name="b.-chronic-disease-management-solutions"/>
    <w:p>
      <w:pPr>
        <w:pStyle w:val="Heading3"/>
      </w:pPr>
      <w:r>
        <w:t xml:space="preserve">B. Chronic Disease Management Solutions</w:t>
      </w:r>
    </w:p>
    <w:p>
      <w:pPr>
        <w:pStyle w:val="FirstParagraph"/>
      </w:pPr>
      <w:r>
        <w:t xml:space="preserve">Milan's GP clinics handle 58% of the city's diabetes and cardiovascular disease cases. Sales opportunities exist for AI-powered tools that:</w:t>
      </w:r>
    </w:p>
    <w:p>
      <w:pPr>
        <w:numPr>
          <w:ilvl w:val="0"/>
          <w:numId w:val="1003"/>
        </w:numPr>
        <w:pStyle w:val="Compact"/>
      </w:pPr>
      <w:r>
        <w:t xml:space="preserve">Generate predictive analytics for high-risk patients (e.g., early detection of diabetic retinopathy)</w:t>
      </w:r>
    </w:p>
    <w:p>
      <w:pPr>
        <w:numPr>
          <w:ilvl w:val="0"/>
          <w:numId w:val="1003"/>
        </w:numPr>
        <w:pStyle w:val="Compact"/>
      </w:pPr>
      <w:r>
        <w:t xml:space="preserve">Integrate with wearable devices popular among Milanese patients (Apple Watch, Fitbit usage exceeds national average by 31%)</w:t>
      </w:r>
    </w:p>
    <w:p>
      <w:pPr>
        <w:numPr>
          <w:ilvl w:val="0"/>
          <w:numId w:val="1003"/>
        </w:numPr>
        <w:pStyle w:val="Compact"/>
      </w:pPr>
      <w:r>
        <w:t xml:space="preserve">Support the "Cure Domiciliari" program for elderly patients—reimbursement increased by 15% in Lombardy this year</w:t>
      </w:r>
    </w:p>
    <w:bookmarkEnd w:id="23"/>
    <w:bookmarkStart w:id="24" w:name="c.-administrative-workflow-optimization"/>
    <w:p>
      <w:pPr>
        <w:pStyle w:val="Heading3"/>
      </w:pPr>
      <w:r>
        <w:t xml:space="preserve">C. Administrative Workflow Optimization</w:t>
      </w:r>
    </w:p>
    <w:p>
      <w:pPr>
        <w:pStyle w:val="FirstParagraph"/>
      </w:pPr>
      <w:r>
        <w:t xml:space="preserve">Italian GPs spend 42% of their time on administrative tasks (vs. 28% in Germany). Solutions automating:</w:t>
      </w:r>
    </w:p>
    <w:p>
      <w:pPr>
        <w:numPr>
          <w:ilvl w:val="0"/>
          <w:numId w:val="1004"/>
        </w:numPr>
        <w:pStyle w:val="Compact"/>
      </w:pPr>
      <w:r>
        <w:t xml:space="preserve">SSN insurance documentation (reducing claim rejection rates from 18% to under 5%)</w:t>
      </w:r>
    </w:p>
    <w:p>
      <w:pPr>
        <w:numPr>
          <w:ilvl w:val="0"/>
          <w:numId w:val="1004"/>
        </w:numPr>
        <w:pStyle w:val="Compact"/>
      </w:pPr>
      <w:r>
        <w:t xml:space="preserve">Appointment scheduling across multiple locations (critical in Milan's multi-site practices)</w:t>
      </w:r>
    </w:p>
    <w:p>
      <w:pPr>
        <w:numPr>
          <w:ilvl w:val="0"/>
          <w:numId w:val="1004"/>
        </w:numPr>
        <w:pStyle w:val="Compact"/>
      </w:pPr>
      <w:r>
        <w:t xml:space="preserve">Compliance reporting for Lombardy Regional Health Authority requirements</w:t>
      </w:r>
    </w:p>
    <w:bookmarkEnd w:id="24"/>
    <w:bookmarkEnd w:id="25"/>
    <w:bookmarkStart w:id="26" w:name="X4cfaf16765fa634c14007bb295bc2a503a1d92f"/>
    <w:p>
      <w:pPr>
        <w:pStyle w:val="Heading2"/>
      </w:pPr>
      <w:r>
        <w:t xml:space="preserve">IV. Competitive Analysis: Milan Market Dynamics</w:t>
      </w:r>
    </w:p>
    <w:p>
      <w:pPr>
        <w:pStyle w:val="FirstParagraph"/>
      </w:pPr>
      <w:r>
        <w:t xml:space="preserve">The sales environment is highly fragmented, with three key competitor tiers influencing vendor positioning: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 Tier</w:t>
            </w:r>
          </w:p>
        </w:tc>
        <w:tc>
          <w:tcPr/>
          <w:p>
            <w:pPr>
              <w:pStyle w:val="Compact"/>
              <w:jc w:val="left"/>
            </w:pPr>
            <w:r>
              <w:t xml:space="preserve">Market Share (Milan)</w:t>
            </w:r>
          </w:p>
        </w:tc>
        <w:tc>
          <w:tcPr/>
          <w:p>
            <w:pPr>
              <w:pStyle w:val="Compact"/>
              <w:jc w:val="left"/>
            </w:pPr>
            <w:r>
              <w:t xml:space="preserve">Sales Weakness</w:t>
            </w:r>
          </w:p>
        </w:tc>
        <w:tc>
          <w:tcPr/>
          <w:p>
            <w:pPr>
              <w:pStyle w:val="Compact"/>
              <w:jc w:val="left"/>
            </w:pPr>
            <w:r>
              <w:t xml:space="preserve">Vendor Opportunity</w:t>
            </w:r>
          </w:p>
        </w:tc>
      </w:tr>
      <w:tr>
        <w:tc>
          <w:tcPr/>
          <w:p>
            <w:pPr>
              <w:pStyle w:val="Compact"/>
              <w:jc w:val="left"/>
            </w:pPr>
            <w:r>
              <w:t xml:space="preserve">National EHR Providers (e.g., Medici in Rete)</w:t>
            </w:r>
          </w:p>
        </w:tc>
        <w:tc>
          <w:tcPr/>
          <w:p>
            <w:pPr>
              <w:pStyle w:val="Compact"/>
              <w:jc w:val="left"/>
            </w:pPr>
            <w:r>
              <w:t xml:space="preserve">48%</w:t>
            </w:r>
          </w:p>
        </w:tc>
        <w:tc>
          <w:tcPr/>
          <w:p>
            <w:pPr>
              <w:pStyle w:val="Compact"/>
              <w:jc w:val="left"/>
            </w:pPr>
            <w:r>
              <w:t xml:space="preserve">Limited Milan-specific customization</w:t>
            </w:r>
          </w:p>
        </w:tc>
        <w:tc>
          <w:tcPr/>
          <w:p>
            <w:pPr>
              <w:pStyle w:val="Compact"/>
              <w:jc w:val="left"/>
            </w:pPr>
            <w:r>
              <w:t xml:space="preserve">Localized workflow templates for Milan's district health offices (ASL Milano)</w:t>
            </w:r>
          </w:p>
        </w:tc>
      </w:tr>
      <w:tr>
        <w:tc>
          <w:tcPr/>
          <w:p>
            <w:pPr>
              <w:pStyle w:val="Compact"/>
              <w:jc w:val="left"/>
            </w:pPr>
            <w:r>
              <w:t xml:space="preserve">Digital Health Startups</w:t>
            </w:r>
          </w:p>
        </w:tc>
        <w:tc>
          <w:tcPr/>
          <w:p>
            <w:pPr>
              <w:pStyle w:val="Compact"/>
              <w:jc w:val="left"/>
            </w:pPr>
            <w:r>
              <w:t xml:space="preserve">29%</w:t>
            </w:r>
          </w:p>
        </w:tc>
        <w:tc>
          <w:tcPr/>
          <w:p>
            <w:pPr>
              <w:pStyle w:val="Compact"/>
              <w:jc w:val="left"/>
            </w:pPr>
            <w:r>
              <w:t xml:space="preserve">Poor SSN integration</w:t>
            </w:r>
          </w:p>
        </w:tc>
        <w:tc>
          <w:tcPr/>
          <w:p>
            <w:pPr>
              <w:pStyle w:val="Compact"/>
              <w:jc w:val="left"/>
            </w:pPr>
            <w:r>
              <w:t xml:space="preserve">Partner with established billing firms like "Sispi" for compliance</w:t>
            </w:r>
          </w:p>
        </w:tc>
      </w:tr>
      <w:tr>
        <w:tc>
          <w:tcPr/>
          <w:p>
            <w:pPr>
              <w:pStyle w:val="Compact"/>
              <w:jc w:val="left"/>
            </w:pPr>
            <w:r>
              <w:t xml:space="preserve">In-House Hospital Systems (e.g., San Raffaele)</w:t>
            </w:r>
          </w:p>
        </w:tc>
        <w:tc>
          <w:tcPr/>
          <w:p>
            <w:pPr>
              <w:pStyle w:val="Compact"/>
              <w:jc w:val="left"/>
            </w:pPr>
            <w:r>
              <w:t xml:space="preserve">16%</w:t>
            </w:r>
          </w:p>
        </w:tc>
        <w:tc>
          <w:tcPr/>
          <w:p>
            <w:pPr>
              <w:pStyle w:val="Compact"/>
              <w:jc w:val="left"/>
            </w:pPr>
            <w:r>
              <w:t xml:space="preserve">Exclusivity to hospital networks</w:t>
            </w:r>
          </w:p>
        </w:tc>
        <w:tc>
          <w:tcPr/>
          <w:p>
            <w:pPr>
              <w:pStyle w:val="Compact"/>
              <w:jc w:val="left"/>
            </w:pPr>
            <w:r>
              <w:t xml:space="preserve">Sell as complementary services for independent GPs</w:t>
            </w:r>
          </w:p>
        </w:tc>
      </w:tr>
    </w:tbl>
    <w:bookmarkEnd w:id="26"/>
    <w:bookmarkStart w:id="27" w:name="v.-key-sales-strategy-recommendations"/>
    <w:p>
      <w:pPr>
        <w:pStyle w:val="Heading2"/>
      </w:pPr>
      <w:r>
        <w:t xml:space="preserve">V. Key Sales Strategy Recommendations</w:t>
      </w:r>
    </w:p>
    <w:p>
      <w:pPr>
        <w:pStyle w:val="FirstParagraph"/>
      </w:pPr>
      <w:r>
        <w:t xml:space="preserve">To succeed in the Milan General Practitioner market, vendors must implement region-specific sales tactics:</w:t>
      </w:r>
    </w:p>
    <w:p>
      <w:pPr>
        <w:numPr>
          <w:ilvl w:val="0"/>
          <w:numId w:val="1005"/>
        </w:numPr>
        <w:pStyle w:val="Compact"/>
      </w:pPr>
      <w:r>
        <w:rPr>
          <w:bCs/>
          <w:b/>
        </w:rPr>
        <w:t xml:space="preserve">Localized Value Propositions:</w:t>
      </w:r>
      <w:r>
        <w:t xml:space="preserve"> </w:t>
      </w:r>
      <w:r>
        <w:t xml:space="preserve">Emphasize cost savings from reduced administrative burden—Milan GPs spend €420/month on paperwork. Example: "Our platform saves 12 hours/week in documentation, equivalent to €1,800 monthly revenue for your practice."</w:t>
      </w:r>
    </w:p>
    <w:p>
      <w:pPr>
        <w:numPr>
          <w:ilvl w:val="0"/>
          <w:numId w:val="1005"/>
        </w:numPr>
        <w:pStyle w:val="Compact"/>
      </w:pPr>
      <w:r>
        <w:rPr>
          <w:bCs/>
          <w:b/>
        </w:rPr>
        <w:t xml:space="preserve">Leverage Professional Networks:</w:t>
      </w:r>
      <w:r>
        <w:t xml:space="preserve"> </w:t>
      </w:r>
      <w:r>
        <w:t xml:space="preserve">Partner with Milan Medical Association (Ordine dei Medici di Milano) for certified training workshops—92% of GPs attend these events.</w:t>
      </w:r>
    </w:p>
    <w:p>
      <w:pPr>
        <w:numPr>
          <w:ilvl w:val="0"/>
          <w:numId w:val="1005"/>
        </w:numPr>
        <w:pStyle w:val="Compact"/>
      </w:pPr>
      <w:r>
        <w:rPr>
          <w:bCs/>
          <w:b/>
        </w:rPr>
        <w:t xml:space="preserve">Pilot Programs with ASL Milano:</w:t>
      </w:r>
      <w:r>
        <w:t xml:space="preserve"> </w:t>
      </w:r>
      <w:r>
        <w:t xml:space="preserve">Offer free 3-month trials to practices participating in Lombardy's "Healthy City" initiative (currently covering 650 Milan GP clinics).</w:t>
      </w:r>
    </w:p>
    <w:p>
      <w:pPr>
        <w:numPr>
          <w:ilvl w:val="0"/>
          <w:numId w:val="1005"/>
        </w:numPr>
        <w:pStyle w:val="Compact"/>
      </w:pPr>
      <w:r>
        <w:rPr>
          <w:bCs/>
          <w:b/>
        </w:rPr>
        <w:t xml:space="preserve">Cultural Adaptation:</w:t>
      </w:r>
      <w:r>
        <w:t xml:space="preserve"> </w:t>
      </w:r>
      <w:r>
        <w:t xml:space="preserve">All sales materials must be in Italian with Milan dialect nuances (e.g., avoiding northern slang like "maestra" which confuses urban professionals). Include references to local landmarks for relatability (e.g., "Optimize your practice near Piazza della Scala").</w:t>
      </w:r>
    </w:p>
    <w:bookmarkEnd w:id="27"/>
    <w:bookmarkStart w:id="28" w:name="vi.-financial-outlook-sales-projections"/>
    <w:p>
      <w:pPr>
        <w:pStyle w:val="Heading2"/>
      </w:pPr>
      <w:r>
        <w:t xml:space="preserve">VI. Financial Outlook &amp; Sales Projections</w:t>
      </w:r>
    </w:p>
    <w:p>
      <w:pPr>
        <w:pStyle w:val="FirstParagraph"/>
      </w:pPr>
      <w:r>
        <w:t xml:space="preserve">The Milan GP service market is projected to grow at 8.3% CAGR through 2027, reaching €145 million in annual revenue for healthcare technology vendors. Critical sales drivers include:</w:t>
      </w:r>
    </w:p>
    <w:p>
      <w:pPr>
        <w:numPr>
          <w:ilvl w:val="0"/>
          <w:numId w:val="1006"/>
        </w:numPr>
        <w:pStyle w:val="Compact"/>
      </w:pPr>
      <w:r>
        <w:rPr>
          <w:bCs/>
          <w:b/>
        </w:rPr>
        <w:t xml:space="preserve">SSN Funding Boost:</w:t>
      </w:r>
      <w:r>
        <w:t xml:space="preserve"> </w:t>
      </w:r>
      <w:r>
        <w:t xml:space="preserve">€28 million allocated to digital tools for primary care in Lombardy (2023 budget)</w:t>
      </w:r>
    </w:p>
    <w:p>
      <w:pPr>
        <w:numPr>
          <w:ilvl w:val="0"/>
          <w:numId w:val="1006"/>
        </w:numPr>
        <w:pStyle w:val="Compact"/>
      </w:pPr>
      <w:r>
        <w:rPr>
          <w:bCs/>
          <w:b/>
        </w:rPr>
        <w:t xml:space="preserve">Milan-Specific Demand Spike:</w:t>
      </w:r>
      <w:r>
        <w:t xml:space="preserve"> </w:t>
      </w:r>
      <w:r>
        <w:t xml:space="preserve">34% of GPs report urgent need for telehealth solutions after pandemic-era patient expectations</w:t>
      </w:r>
    </w:p>
    <w:p>
      <w:pPr>
        <w:numPr>
          <w:ilvl w:val="0"/>
          <w:numId w:val="1006"/>
        </w:numPr>
        <w:pStyle w:val="Compact"/>
      </w:pPr>
      <w:r>
        <w:rPr>
          <w:bCs/>
          <w:b/>
        </w:rPr>
        <w:t xml:space="preserve">Regulatory Timeline:</w:t>
      </w:r>
      <w:r>
        <w:t xml:space="preserve"> </w:t>
      </w:r>
      <w:r>
        <w:t xml:space="preserve">Mandatory EHR adoption by all GPs in Lombardy by Q2 2025 creates immediate sales urgency</w:t>
      </w:r>
    </w:p>
    <w:p>
      <w:pPr>
        <w:pStyle w:val="FirstParagraph"/>
      </w:pPr>
      <w:r>
        <w:t xml:space="preserve">Vendor market share projections indicate that companies implementing the recommended strategies can capture 18-23% of Milan's GP technology spend within two years—significantly above the current industry average of 11%.</w:t>
      </w:r>
    </w:p>
    <w:bookmarkEnd w:id="28"/>
    <w:bookmarkStart w:id="29" w:name="X1addf9b8e91a033958088c8a75ea98522db1417"/>
    <w:p>
      <w:pPr>
        <w:pStyle w:val="Heading2"/>
      </w:pPr>
      <w:r>
        <w:t xml:space="preserve">VII. Conclusion: Strategic Imperative for Sales Teams</w:t>
      </w:r>
    </w:p>
    <w:p>
      <w:pPr>
        <w:pStyle w:val="FirstParagraph"/>
      </w:pPr>
      <w:r>
        <w:t xml:space="preserve">Milan represents Italy's most sophisticated General Practitioner market, where healthcare delivery is increasingly data-driven and patient-centric. Vendors who master three critical elements will dominate this space:</w:t>
      </w:r>
    </w:p>
    <w:p>
      <w:pPr>
        <w:numPr>
          <w:ilvl w:val="0"/>
          <w:numId w:val="1007"/>
        </w:numPr>
        <w:pStyle w:val="Compact"/>
      </w:pPr>
      <w:r>
        <w:rPr>
          <w:bCs/>
          <w:b/>
        </w:rPr>
        <w:t xml:space="preserve">Deep Local Expertise:</w:t>
      </w:r>
      <w:r>
        <w:t xml:space="preserve"> </w:t>
      </w:r>
      <w:r>
        <w:t xml:space="preserve">Understanding Milan's ASL district structures (e.g., ASL Milano 1 vs. Milano 5) for targeted sales outreach</w:t>
      </w:r>
    </w:p>
    <w:p>
      <w:pPr>
        <w:numPr>
          <w:ilvl w:val="0"/>
          <w:numId w:val="1007"/>
        </w:numPr>
        <w:pStyle w:val="Compact"/>
      </w:pPr>
      <w:r>
        <w:rPr>
          <w:bCs/>
          <w:b/>
        </w:rPr>
        <w:t xml:space="preserve">SSN Compliance Fluency:</w:t>
      </w:r>
      <w:r>
        <w:t xml:space="preserve"> </w:t>
      </w:r>
      <w:r>
        <w:t xml:space="preserve">Demonstrating knowledge of Italy's evolving reimbursement codes (e.g., the recent "Fattura Elettronica Sanitaria" update)</w:t>
      </w:r>
    </w:p>
    <w:p>
      <w:pPr>
        <w:numPr>
          <w:ilvl w:val="0"/>
          <w:numId w:val="1007"/>
        </w:numPr>
        <w:pStyle w:val="Compact"/>
      </w:pPr>
      <w:r>
        <w:rPr>
          <w:bCs/>
          <w:b/>
        </w:rPr>
        <w:t xml:space="preserve">Cultural Precision:</w:t>
      </w:r>
      <w:r>
        <w:t xml:space="preserve"> </w:t>
      </w:r>
      <w:r>
        <w:t xml:space="preserve">Aligning sales messaging with Milanese professional values—emphasis on efficiency, precision, and quality over volume</w:t>
      </w:r>
    </w:p>
    <w:p>
      <w:pPr>
        <w:pStyle w:val="FirstParagraph"/>
      </w:pPr>
      <w:r>
        <w:t xml:space="preserve">The Sales Report concludes that immediate action is required to capture market share before Lombardy's mandatory digital transition. Failure to address these specific Milan GP requirements will result in vendors being outpaced by competitors who understand that in Italy's healthcare landscape, "General Practitioner" means more than a title—it represents the gateway to 1.3 million patients and €470 million in annual practice revenue per district.</w:t>
      </w:r>
    </w:p>
    <w:p>
      <w:pPr>
        <w:pStyle w:val="BodyText"/>
      </w:pPr>
      <w:r>
        <w:rPr>
          <w:bCs/>
          <w:b/>
        </w:rPr>
        <w:t xml:space="preserve">Prepared By:</w:t>
      </w:r>
      <w:r>
        <w:t xml:space="preserve"> </w:t>
      </w:r>
      <w:r>
        <w:t xml:space="preserve">European Healthcare Strategy Division</w:t>
      </w:r>
      <w:r>
        <w:br/>
      </w:r>
      <w:r>
        <w:rPr>
          <w:bCs/>
          <w:b/>
        </w:rPr>
        <w:t xml:space="preserve">Confidential: This report is for internal use only by authorized healthcare vendors seeking to enter the Milan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Market Analysis - Milan, Italy</dc:title>
  <dc:creator/>
  <dc:language>en</dc:language>
  <cp:keywords/>
  <dcterms:created xsi:type="dcterms:W3CDTF">2026-07-23T17:18:11Z</dcterms:created>
  <dcterms:modified xsi:type="dcterms:W3CDTF">2026-07-23T17:18:11Z</dcterms:modified>
</cp:coreProperties>
</file>

<file path=docProps/custom.xml><?xml version="1.0" encoding="utf-8"?>
<Properties xmlns="http://schemas.openxmlformats.org/officeDocument/2006/custom-properties" xmlns:vt="http://schemas.openxmlformats.org/officeDocument/2006/docPropsVTypes"/>
</file>