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Practice</w:t>
      </w:r>
      <w:r>
        <w:t xml:space="preserve"> </w:t>
      </w:r>
      <w:r>
        <w:t xml:space="preserve">Performance</w:t>
      </w:r>
      <w:r>
        <w:t xml:space="preserve"> </w:t>
      </w:r>
      <w:r>
        <w:t xml:space="preserve">Report:</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Naples</w:t>
      </w:r>
    </w:p>
    <w:bookmarkStart w:id="28" w:name="Xceb3edbf4ea1893bebf10a375c776cfe6a1f1a4"/>
    <w:p>
      <w:pPr>
        <w:pStyle w:val="Heading1"/>
      </w:pPr>
      <w:r>
        <w:t xml:space="preserve">Comprehensive Sales Performance Report: General Practitioner Services in Naples, Italy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Medical Practice Management Team</w:t>
      </w:r>
      <w:r>
        <w:br/>
      </w:r>
      <w:r>
        <w:rPr>
          <w:bCs/>
          <w:b/>
        </w:rPr>
        <w:t xml:space="preserve">Location:</w:t>
      </w:r>
      <w:r>
        <w:t xml:space="preserve"> </w:t>
      </w:r>
      <w:r>
        <w:t xml:space="preserve">Naples, Italy (Region: Campania)</w:t>
      </w:r>
    </w:p>
    <w:bookmarkStart w:id="20" w:name="i.-executive-summary"/>
    <w:p>
      <w:pPr>
        <w:pStyle w:val="Heading2"/>
      </w:pPr>
      <w:r>
        <w:t xml:space="preserve">I. Executive Summary</w:t>
      </w:r>
    </w:p>
    <w:p>
      <w:pPr>
        <w:pStyle w:val="FirstParagraph"/>
      </w:pPr>
      <w:r>
        <w:t xml:space="preserve">This report details the comprehensive sales performance of our General Practitioner (Medico di Medicina Generale) practice located in central Naples over the past fiscal year (January 1, 2023 - December 31, 2023). The analysis confirms exceptional growth in patient acquisition, service utilization, and revenue generation within the competitive healthcare landscape of Naples. With a strategic focus on community health needs and digital integration, our practice has achieved a 24.7% year-over-year increase in total service sales while maintaining industry-leading patient satisfaction scores (93.8%). This success positions us as a premier provider of primary care services across Naples' diverse urban population.</w:t>
      </w:r>
    </w:p>
    <w:bookmarkEnd w:id="20"/>
    <w:bookmarkStart w:id="21" w:name="Xd05aa696c8d42026f7e1b25b217e19b3eb49376"/>
    <w:p>
      <w:pPr>
        <w:pStyle w:val="Heading2"/>
      </w:pPr>
      <w:r>
        <w:t xml:space="preserve">II. Market Context: Naples Healthcare Dynamics</w:t>
      </w:r>
    </w:p>
    <w:p>
      <w:pPr>
        <w:pStyle w:val="FirstParagraph"/>
      </w:pPr>
      <w:r>
        <w:t xml:space="preserve">Naples presents unique challenges and opportunities for General Practitioners due to its dense urban population (3,100,000 residents), significant elderly demographic (28% over 65), and high demand for accessible primary care. The Campania region's National Health Service (SSN) reimbursement model requires efficient service delivery, while rising patient expectations for personalized care drive competitive differentiation. Our practice—serving neighborhoods including Chiaia, Centro Storico, and Vomero—has strategically aligned with these dynamics by:</w:t>
      </w:r>
    </w:p>
    <w:p>
      <w:pPr>
        <w:numPr>
          <w:ilvl w:val="0"/>
          <w:numId w:val="1001"/>
        </w:numPr>
        <w:pStyle w:val="Compact"/>
      </w:pPr>
      <w:r>
        <w:t xml:space="preserve">Expanding telemedicine consultations to serve mobility-limited elderly patients</w:t>
      </w:r>
    </w:p>
    <w:p>
      <w:pPr>
        <w:numPr>
          <w:ilvl w:val="0"/>
          <w:numId w:val="1001"/>
        </w:numPr>
        <w:pStyle w:val="Compact"/>
      </w:pPr>
      <w:r>
        <w:t xml:space="preserve">Integrating preventive care packages for chronic conditions prevalent in Naples (diabetes: 18.2%, hypertension: 31.7%)</w:t>
      </w:r>
    </w:p>
    <w:p>
      <w:pPr>
        <w:numPr>
          <w:ilvl w:val="0"/>
          <w:numId w:val="1001"/>
        </w:numPr>
        <w:pStyle w:val="Compact"/>
      </w:pPr>
      <w:r>
        <w:t xml:space="preserve">Establishing partnerships with local pharmacies and physiotherapy centers for seamless referrals</w:t>
      </w:r>
    </w:p>
    <w:bookmarkEnd w:id="21"/>
    <w:bookmarkStart w:id="22" w:name="X504c720c52df1ac5e8e4674e3913b470dc6ec7e"/>
    <w:p>
      <w:pPr>
        <w:pStyle w:val="Heading2"/>
      </w:pPr>
      <w:r>
        <w:t xml:space="preserve">III. Key Performance Metrics (Fiscal Year 2023)</w:t>
      </w:r>
    </w:p>
    <w:p>
      <w:pPr>
        <w:pStyle w:val="FirstParagraph"/>
      </w:pPr>
      <w:r>
        <w:t xml:space="preserve">Performance Indicator</w:t>
      </w:r>
    </w:p>
    <w:p>
      <w:pPr>
        <w:pStyle w:val="BodyText"/>
      </w:pPr>
      <w:r>
        <w:t xml:space="preserve">2023 Value</w:t>
      </w:r>
    </w:p>
    <w:p>
      <w:pPr>
        <w:pStyle w:val="BodyText"/>
      </w:pPr>
      <w:r>
        <w:t xml:space="preserve">% Change vs. 2022</w:t>
      </w:r>
    </w:p>
    <w:p>
      <w:pPr>
        <w:pStyle w:val="BodyText"/>
      </w:pPr>
      <w:r>
        <w:t xml:space="preserve">Industry Benchmark (Campania)</w:t>
      </w:r>
    </w:p>
    <w:p>
      <w:pPr>
        <w:pStyle w:val="BodyText"/>
      </w:pPr>
      <w:r>
        <w:t xml:space="preserve">Total Patient Consultations (SSN + Private)</w:t>
      </w:r>
    </w:p>
    <w:p>
      <w:pPr>
        <w:pStyle w:val="BodyText"/>
      </w:pPr>
      <w:r>
        <w:t xml:space="preserve">14,870</w:t>
      </w:r>
    </w:p>
    <w:p>
      <w:pPr>
        <w:pStyle w:val="BodyText"/>
      </w:pPr>
      <w:r>
        <w:t xml:space="preserve">+26.3%</w:t>
      </w:r>
    </w:p>
    <w:p>
      <w:pPr>
        <w:pStyle w:val="BodyText"/>
      </w:pPr>
      <w:r>
        <w:t xml:space="preserve">+9.1%</w:t>
      </w:r>
    </w:p>
    <w:p>
      <w:pPr>
        <w:pStyle w:val="BodyText"/>
      </w:pPr>
      <w:r>
        <w:t xml:space="preserve">Average Revenue Per Visit (EUR)</w:t>
      </w:r>
    </w:p>
    <w:p>
      <w:pPr>
        <w:pStyle w:val="BodyText"/>
      </w:pPr>
      <w:r>
        <w:t xml:space="preserve">58.60</w:t>
      </w:r>
    </w:p>
    <w:p>
      <w:pPr>
        <w:pStyle w:val="BodyText"/>
      </w:pPr>
      <w:r>
        <w:t xml:space="preserve">+4.2%</w:t>
      </w:r>
    </w:p>
    <w:p>
      <w:pPr>
        <w:pStyle w:val="BodyText"/>
      </w:pPr>
      <w:r>
        <w:t xml:space="preserve">Private Consultation Rate</w:t>
      </w:r>
    </w:p>
    <w:p>
      <w:pPr>
        <w:pStyle w:val="BodyText"/>
      </w:pPr>
      <w:r>
        <w:t xml:space="preserve">32.7%+11.8% (vs 2022)N/A</w:t>
      </w:r>
    </w:p>
    <w:p>
      <w:pPr>
        <w:pStyle w:val="BodyText"/>
      </w:pPr>
      <w:r>
        <w:t xml:space="preserve">Patient Retention Rate</w:t>
      </w:r>
    </w:p>
    <w:p>
      <w:pPr>
        <w:pStyle w:val="BodyText"/>
      </w:pPr>
      <w:r>
        <w:t xml:space="preserve">86.4%</w:t>
      </w:r>
    </w:p>
    <w:p>
      <w:pPr>
        <w:pStyle w:val="BodyText"/>
      </w:pPr>
      <w:r>
        <w:t xml:space="preserve">+8.9%</w:t>
      </w:r>
    </w:p>
    <w:p>
      <w:pPr>
        <w:pStyle w:val="BodyText"/>
      </w:pPr>
      <w:r>
        <w:t xml:space="preserve">73.1%</w:t>
      </w:r>
    </w:p>
    <w:p>
      <w:pPr>
        <w:pStyle w:val="BodyText"/>
      </w:pPr>
      <w:r>
        <w:t xml:space="preserve">Total Service Revenue (EUR)</w:t>
      </w:r>
    </w:p>
    <w:p>
      <w:pPr>
        <w:pStyle w:val="BodyText"/>
      </w:pPr>
      <w:r>
        <w:t xml:space="preserve">€872,150</w:t>
      </w:r>
    </w:p>
    <w:p>
      <w:pPr>
        <w:pStyle w:val="BodyText"/>
      </w:pPr>
      <w:r>
        <w:t xml:space="preserve">+24.7% YoY (vs €700,580 in 2022)</w:t>
      </w:r>
    </w:p>
    <w:p>
      <w:pPr>
        <w:pStyle w:val="BodyText"/>
      </w:pPr>
      <w:r>
        <w:rPr>
          <w:bCs/>
          <w:b/>
        </w:rPr>
        <w:t xml:space="preserve">Key Insight:</w:t>
      </w:r>
      <w:r>
        <w:t xml:space="preserve"> </w:t>
      </w:r>
      <w:r>
        <w:t xml:space="preserve">The 32.7% private consultation rate significantly exceeds regional averages (19.4%), reflecting strong patient preference for premium service options—a strategic differentiator in Naples' competitive GP market.</w:t>
      </w:r>
    </w:p>
    <w:bookmarkEnd w:id="22"/>
    <w:bookmarkStart w:id="23" w:name="iv.-revenue-stream-analysis"/>
    <w:p>
      <w:pPr>
        <w:pStyle w:val="Heading2"/>
      </w:pPr>
      <w:r>
        <w:t xml:space="preserve">IV. Revenue Stream Analysis</w:t>
      </w:r>
    </w:p>
    <w:p>
      <w:pPr>
        <w:pStyle w:val="FirstParagraph"/>
      </w:pPr>
      <w:r>
        <w:t xml:space="preserve">The revenue structure demonstrates effective diversification beyond standard SSN reimbursements:</w:t>
      </w:r>
    </w:p>
    <w:p>
      <w:pPr>
        <w:numPr>
          <w:ilvl w:val="0"/>
          <w:numId w:val="1002"/>
        </w:numPr>
        <w:pStyle w:val="Compact"/>
      </w:pPr>
      <w:r>
        <w:rPr>
          <w:bCs/>
          <w:b/>
        </w:rPr>
        <w:t xml:space="preserve">SSN Reimbursed Consultations (67.3% of revenue):</w:t>
      </w:r>
      <w:r>
        <w:t xml:space="preserve"> </w:t>
      </w:r>
      <w:r>
        <w:t xml:space="preserve">Increased by 21.5% through streamlined appointment systems reducing no-shows by 18.2%. Implementation of electronic health records (EHR) integrated with ASL Naples facilitated faster billing.</w:t>
      </w:r>
    </w:p>
    <w:p>
      <w:pPr>
        <w:numPr>
          <w:ilvl w:val="0"/>
          <w:numId w:val="1002"/>
        </w:numPr>
        <w:pStyle w:val="Compact"/>
      </w:pPr>
      <w:r>
        <w:rPr>
          <w:bCs/>
          <w:b/>
        </w:rPr>
        <w:t xml:space="preserve">Private Consultations (32.7% of revenue):</w:t>
      </w:r>
      <w:r>
        <w:t xml:space="preserve"> </w:t>
      </w:r>
      <w:r>
        <w:t xml:space="preserve">Surge driven by demand for extended consultation times (45+ mins), specialized preventive packages, and same-day appointments. Private rates average €120-€180 per visit—up 6.5% from 2022 due to premium service positioning.</w:t>
      </w:r>
    </w:p>
    <w:p>
      <w:pPr>
        <w:numPr>
          <w:ilvl w:val="0"/>
          <w:numId w:val="1002"/>
        </w:numPr>
        <w:pStyle w:val="Compact"/>
      </w:pPr>
      <w:r>
        <w:rPr>
          <w:bCs/>
          <w:b/>
        </w:rPr>
        <w:t xml:space="preserve">Preventive Care Packages (New Revenue Stream):</w:t>
      </w:r>
      <w:r>
        <w:t xml:space="preserve"> </w:t>
      </w:r>
      <w:r>
        <w:t xml:space="preserve">Introduced in Q3 2023, these bundled services (e.g., "Diabetes Management Package" €399 for 6 months) contributed €148,500 or 17.0% of total revenue. High demand from Naples' aging population.</w:t>
      </w:r>
    </w:p>
    <w:p>
      <w:pPr>
        <w:numPr>
          <w:ilvl w:val="0"/>
          <w:numId w:val="1002"/>
        </w:numPr>
        <w:pStyle w:val="Compact"/>
      </w:pPr>
      <w:r>
        <w:rPr>
          <w:bCs/>
          <w:b/>
        </w:rPr>
        <w:t xml:space="preserve">Telemedicine Services:</w:t>
      </w:r>
      <w:r>
        <w:t xml:space="preserve"> </w:t>
      </w:r>
      <w:r>
        <w:t xml:space="preserve">Represented 12.8% of all consultations (up from 3.2% in 2022), generating €96,450 in revenue while improving accessibility for patients with mobility challenges in Naples' hilly terrain.</w:t>
      </w:r>
    </w:p>
    <w:bookmarkEnd w:id="23"/>
    <w:bookmarkStart w:id="24" w:name="X93c1c8e98f493b068b3cddc1fac31d35c72c2d6"/>
    <w:p>
      <w:pPr>
        <w:pStyle w:val="Heading2"/>
      </w:pPr>
      <w:r>
        <w:t xml:space="preserve">V. Competitive Advantage: Why Naples Patients Choose Us</w:t>
      </w:r>
    </w:p>
    <w:p>
      <w:pPr>
        <w:pStyle w:val="FirstParagraph"/>
      </w:pPr>
      <w:r>
        <w:t xml:space="preserve">Our sales performance stems from hyper-localized value propositions addressing Naples-specific healthcare needs:</w:t>
      </w:r>
    </w:p>
    <w:p>
      <w:pPr>
        <w:numPr>
          <w:ilvl w:val="0"/>
          <w:numId w:val="1003"/>
        </w:numPr>
        <w:pStyle w:val="Compact"/>
      </w:pPr>
      <w:r>
        <w:rPr>
          <w:bCs/>
          <w:b/>
        </w:rPr>
        <w:t xml:space="preserve">Cultural Competency:</w:t>
      </w:r>
      <w:r>
        <w:t xml:space="preserve"> </w:t>
      </w:r>
      <w:r>
        <w:t xml:space="preserve">Multilingual staff (Italian, English, Arabic) serving Naples' growing expat community and immigrant populations in Quartieri Spagnoli.</w:t>
      </w:r>
    </w:p>
    <w:p>
      <w:pPr>
        <w:numPr>
          <w:ilvl w:val="0"/>
          <w:numId w:val="1003"/>
        </w:numPr>
        <w:pStyle w:val="Compact"/>
      </w:pPr>
      <w:r>
        <w:rPr>
          <w:bCs/>
          <w:b/>
        </w:rPr>
        <w:t xml:space="preserve">Location Strategy:</w:t>
      </w:r>
      <w:r>
        <w:t xml:space="preserve"> </w:t>
      </w:r>
      <w:r>
        <w:t xml:space="preserve">Central office in Via Toledo (15 min walk from Piazza del Plebiscito) with extended hours (8:00 AM - 9:00 PM, including Sundays) meeting Naples' "late-life" culture.</w:t>
      </w:r>
    </w:p>
    <w:p>
      <w:pPr>
        <w:numPr>
          <w:ilvl w:val="0"/>
          <w:numId w:val="1003"/>
        </w:numPr>
        <w:pStyle w:val="Compact"/>
      </w:pPr>
      <w:r>
        <w:rPr>
          <w:bCs/>
          <w:b/>
        </w:rPr>
        <w:t xml:space="preserve">Community Integration:</w:t>
      </w:r>
      <w:r>
        <w:t xml:space="preserve"> </w:t>
      </w:r>
      <w:r>
        <w:t xml:space="preserve">Monthly free health screenings at Chiaia public squares and partnerships with local bakeries for diabetic meal planning—boosting neighborhood visibility.</w:t>
      </w:r>
    </w:p>
    <w:p>
      <w:pPr>
        <w:numPr>
          <w:ilvl w:val="0"/>
          <w:numId w:val="1003"/>
        </w:numPr>
        <w:pStyle w:val="Compact"/>
      </w:pPr>
      <w:r>
        <w:rPr>
          <w:bCs/>
          <w:b/>
        </w:rPr>
        <w:t xml:space="preserve">Digital Patient Portal:</w:t>
      </w:r>
      <w:r>
        <w:t xml:space="preserve"> </w:t>
      </w:r>
      <w:r>
        <w:t xml:space="preserve">89% of patients use our app for bookings, prescription refills, and results access. The Naples-specific interface features Vesuvius weather alerts to remind patients about joint pain management during temperature changes.</w:t>
      </w:r>
    </w:p>
    <w:bookmarkEnd w:id="24"/>
    <w:bookmarkStart w:id="25" w:name="vi.-challenges-strategic-response"/>
    <w:p>
      <w:pPr>
        <w:pStyle w:val="Heading2"/>
      </w:pPr>
      <w:r>
        <w:t xml:space="preserve">VI. Challenges &amp; Strategic Response</w:t>
      </w:r>
    </w:p>
    <w:p>
      <w:pPr>
        <w:pStyle w:val="FirstParagraph"/>
      </w:pPr>
      <w:r>
        <w:t xml:space="preserve">Naples' healthcare environment presents ongoing challenges requiring adaptive strategies:</w:t>
      </w:r>
    </w:p>
    <w:p>
      <w:pPr>
        <w:numPr>
          <w:ilvl w:val="0"/>
          <w:numId w:val="1004"/>
        </w:numPr>
        <w:pStyle w:val="Compact"/>
      </w:pPr>
      <w:r>
        <w:rPr>
          <w:iCs/>
          <w:i/>
        </w:rPr>
        <w:t xml:space="preserve">Challenge:</w:t>
      </w:r>
      <w:r>
        <w:t xml:space="preserve"> </w:t>
      </w:r>
      <w:r>
        <w:t xml:space="preserve">41% of SSN patients delay care due to long public clinic wait times (avg. 3 weeks).</w:t>
      </w:r>
    </w:p>
    <w:p>
      <w:pPr>
        <w:numPr>
          <w:ilvl w:val="0"/>
          <w:numId w:val="1004"/>
        </w:numPr>
        <w:pStyle w:val="Compact"/>
      </w:pPr>
      <w:r>
        <w:rPr>
          <w:iCs/>
          <w:i/>
        </w:rPr>
        <w:t xml:space="preserve">Response:</w:t>
      </w:r>
      <w:r>
        <w:t xml:space="preserve"> </w:t>
      </w:r>
      <w:r>
        <w:t xml:space="preserve">Implemented "Priority Access" program for high-risk Naples patients (diabetics, heart conditions), securing 72-hour appointments—resulting in 34% more chronic condition management visits.</w:t>
      </w:r>
    </w:p>
    <w:p>
      <w:pPr>
        <w:numPr>
          <w:ilvl w:val="0"/>
          <w:numId w:val="1004"/>
        </w:numPr>
        <w:pStyle w:val="Compact"/>
      </w:pPr>
      <w:r>
        <w:rPr>
          <w:iCs/>
          <w:i/>
        </w:rPr>
        <w:t xml:space="preserve">Challenge:</w:t>
      </w:r>
      <w:r>
        <w:t xml:space="preserve"> </w:t>
      </w:r>
      <w:r>
        <w:t xml:space="preserve">Rising operational costs from Naples' inflation (6.2% in 2023).</w:t>
      </w:r>
    </w:p>
    <w:p>
      <w:pPr>
        <w:numPr>
          <w:ilvl w:val="0"/>
          <w:numId w:val="1004"/>
        </w:numPr>
        <w:pStyle w:val="Compact"/>
      </w:pPr>
      <w:r>
        <w:rPr>
          <w:iCs/>
          <w:i/>
        </w:rPr>
        <w:t xml:space="preserve">Response:</w:t>
      </w:r>
      <w:r>
        <w:t xml:space="preserve"> </w:t>
      </w:r>
      <w:r>
        <w:t xml:space="preserve">Negotiated bulk supply contracts for medical consumables with local distributors, reducing costs by 14.7% without compromising quality.</w:t>
      </w:r>
    </w:p>
    <w:bookmarkEnd w:id="25"/>
    <w:bookmarkStart w:id="26" w:name="vii.-future-outlook-growth-strategy-2024"/>
    <w:p>
      <w:pPr>
        <w:pStyle w:val="Heading2"/>
      </w:pPr>
      <w:r>
        <w:t xml:space="preserve">VII. Future Outlook &amp; Growth Strategy (2024)</w:t>
      </w:r>
    </w:p>
    <w:p>
      <w:pPr>
        <w:pStyle w:val="FirstParagraph"/>
      </w:pPr>
      <w:r>
        <w:t xml:space="preserve">Building on our Naples success, the following initiatives will drive sustained growth:</w:t>
      </w:r>
    </w:p>
    <w:p>
      <w:pPr>
        <w:numPr>
          <w:ilvl w:val="0"/>
          <w:numId w:val="1005"/>
        </w:numPr>
        <w:pStyle w:val="Compact"/>
      </w:pPr>
      <w:r>
        <w:rPr>
          <w:bCs/>
          <w:b/>
        </w:rPr>
        <w:t xml:space="preserve">Expansion of Telemedicine:</w:t>
      </w:r>
      <w:r>
        <w:t xml:space="preserve"> </w:t>
      </w:r>
      <w:r>
        <w:t xml:space="preserve">Partner with Naples-based startup "HealthNaples" to develop AI symptom-checker for initial triage—projected 20% revenue increase from virtual services.</w:t>
      </w:r>
    </w:p>
    <w:p>
      <w:pPr>
        <w:numPr>
          <w:ilvl w:val="0"/>
          <w:numId w:val="1005"/>
        </w:numPr>
        <w:pStyle w:val="Compact"/>
      </w:pPr>
      <w:r>
        <w:rPr>
          <w:bCs/>
          <w:b/>
        </w:rPr>
        <w:t xml:space="preserve">Senior Care Specialization:</w:t>
      </w:r>
      <w:r>
        <w:t xml:space="preserve"> </w:t>
      </w:r>
      <w:r>
        <w:t xml:space="preserve">Launch "Naples Silver Health Program" targeting retirees (15% of city's population) with dedicated geriatric consultations and home visits.</w:t>
      </w:r>
    </w:p>
    <w:p>
      <w:pPr>
        <w:numPr>
          <w:ilvl w:val="0"/>
          <w:numId w:val="1005"/>
        </w:numPr>
        <w:pStyle w:val="Compact"/>
      </w:pPr>
      <w:r>
        <w:rPr>
          <w:bCs/>
          <w:b/>
        </w:rPr>
        <w:t xml:space="preserve">Corporate Wellness Partnerships:</w:t>
      </w:r>
      <w:r>
        <w:t xml:space="preserve"> </w:t>
      </w:r>
      <w:r>
        <w:t xml:space="preserve">Targeting Naples' 12,000+ businesses to offer group preventive packages—initial pilot with tourism companies (hotels, tour operators) underway.</w:t>
      </w:r>
    </w:p>
    <w:p>
      <w:pPr>
        <w:numPr>
          <w:ilvl w:val="0"/>
          <w:numId w:val="1005"/>
        </w:numPr>
        <w:pStyle w:val="Compact"/>
      </w:pPr>
      <w:r>
        <w:rPr>
          <w:bCs/>
          <w:b/>
        </w:rPr>
        <w:t xml:space="preserve">Sustainability Initiative:</w:t>
      </w:r>
      <w:r>
        <w:t xml:space="preserve"> </w:t>
      </w:r>
      <w:r>
        <w:t xml:space="preserve">Achieving "Green Clinic" certification through energy-efficient equipment and paperless billing—aligning with Naples' city environmental goals.</w:t>
      </w:r>
    </w:p>
    <w:bookmarkEnd w:id="26"/>
    <w:bookmarkStart w:id="27" w:name="viii.-conclusion"/>
    <w:p>
      <w:pPr>
        <w:pStyle w:val="Heading2"/>
      </w:pPr>
      <w:r>
        <w:t xml:space="preserve">VIII. Conclusion</w:t>
      </w:r>
    </w:p>
    <w:p>
      <w:pPr>
        <w:pStyle w:val="FirstParagraph"/>
      </w:pPr>
      <w:r>
        <w:t xml:space="preserve">The 2023 performance of our General Practitioner practice in Naples underscores the power of community-centric healthcare delivery within Italy's complex regional health ecosystem. By strategically adapting service models to address Naples' demographic realities, cultural context, and infrastructure constraints—from managing Vesuvius-related weather impacts to serving diverse linguistic groups—we have not only achieved exceptional revenue growth but also positioned ourselves as a trusted cornerstone of Naples' primary care network. Our 24.7% sales increase outpaces both regional averages and national healthcare market growth (3.8%), proving that personalized, locally responsive General Practitioner services remain the gold standard for patient-centric medicine in Italy's most dynamic urban environment.</w:t>
      </w:r>
    </w:p>
    <w:p>
      <w:pPr>
        <w:pStyle w:val="BodyText"/>
      </w:pPr>
      <w:r>
        <w:t xml:space="preserve">This report confirms our practice as a leader in Naples' medical landscape where understanding local needs isn't just advantageous—it's the foundation of sustainable growth. We project 20% revenue growth for 2024 through expanded service lines, further cementing our commitment to excellence in General Practitioner care across Italy.</w:t>
      </w:r>
    </w:p>
    <w:p>
      <w:pPr>
        <w:pStyle w:val="BodyText"/>
      </w:pPr>
      <w:r>
        <w:rPr>
          <w:iCs/>
          <w:i/>
        </w:rPr>
        <w:t xml:space="preserve">Report Authored by: [Your Practice Name] Management Team | Naples, Italy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Practice Performance Report: General Practitioner Services in Naples</dc:title>
  <dc:creator/>
  <dc:language>en</dc:language>
  <cp:keywords/>
  <dcterms:created xsi:type="dcterms:W3CDTF">2026-07-24T09:41:36Z</dcterms:created>
  <dcterms:modified xsi:type="dcterms:W3CDTF">2026-07-24T09:41:36Z</dcterms:modified>
</cp:coreProperties>
</file>

<file path=docProps/custom.xml><?xml version="1.0" encoding="utf-8"?>
<Properties xmlns="http://schemas.openxmlformats.org/officeDocument/2006/custom-properties" xmlns:vt="http://schemas.openxmlformats.org/officeDocument/2006/docPropsVTypes"/>
</file>