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&amp;</w:t>
      </w:r>
      <w:r>
        <w:t xml:space="preserve"> </w:t>
      </w:r>
      <w:r>
        <w:t xml:space="preserve">Service</w:t>
      </w:r>
      <w:r>
        <w:t xml:space="preserve"> </w:t>
      </w:r>
      <w:r>
        <w:t xml:space="preserve">Performance</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Rome,</w:t>
      </w:r>
      <w:r>
        <w:t xml:space="preserve"> </w:t>
      </w:r>
      <w:r>
        <w:t xml:space="preserve">Italy</w:t>
      </w:r>
    </w:p>
    <w:bookmarkStart w:id="29" w:name="Xc58f80fe08fad5ee4d2f65ebfa9056c455f1bd3"/>
    <w:p>
      <w:pPr>
        <w:pStyle w:val="Heading1"/>
      </w:pPr>
      <w:r>
        <w:t xml:space="preserve">Annual Performance &amp; Strategic Analysis Report: General Practitioner Services Market in Rome, Italy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Management Board, Azienda Sanitaria Locale (ASL) Roma 1 &amp; Regional Health Authority</w:t>
      </w:r>
      <w:r>
        <w:br/>
      </w:r>
      <w:r>
        <w:rPr>
          <w:bCs/>
          <w:b/>
        </w:rPr>
        <w:t xml:space="preserve">Report Period:</w:t>
      </w:r>
      <w:r>
        <w:t xml:space="preserve"> </w:t>
      </w:r>
      <w:r>
        <w:t xml:space="preserve">January 1, 2023 - September 30, 2023</w:t>
      </w:r>
      <w:r>
        <w:br/>
      </w:r>
      <w:r>
        <w:rPr>
          <w:bCs/>
          <w:b/>
        </w:rPr>
        <w:t xml:space="preserve">Subject:</w:t>
      </w:r>
      <w:r>
        <w:t xml:space="preserve"> </w:t>
      </w:r>
      <w:r>
        <w:t xml:space="preserve">Sales Performance Metrics and Patient Service Utilization for General Practitioners (GPs) across Rome</w:t>
      </w:r>
    </w:p>
    <w:bookmarkStart w:id="20" w:name="i.-executive-summary"/>
    <w:p>
      <w:pPr>
        <w:pStyle w:val="Heading2"/>
      </w:pPr>
      <w:r>
        <w:t xml:space="preserve">I. Executive Summary</w:t>
      </w:r>
    </w:p>
    <w:p>
      <w:pPr>
        <w:pStyle w:val="FirstParagraph"/>
      </w:pPr>
      <w:r>
        <w:t xml:space="preserve">This comprehensive Sales Report details the operational performance, patient engagement metrics, and service utilization trends of General Practitioner (GP) practices within the urban healthcare ecosystem of Rome, Italy. As the cornerstone of primary care under Italy’s National Health Service (SSN), GPs serve as critical access points for Rome’s 2.8 million residents. The report confirms a robust 12% year-over-year increase in patient appointments across certified GP clinics in Rome, driven by targeted outreach initiatives and digital service integration. Crucially, this "sales" performance reflects sustainable healthcare delivery—not commercial transactions—aligned with Italy’s public health framework where services are reimbursed through the SSN rather than direct patient sales. Key highlights include optimized appointment management systems, elevated telehealth adoption (up 35% since 2022), and significant growth in preventive care consultations.</w:t>
      </w:r>
    </w:p>
    <w:bookmarkEnd w:id="20"/>
    <w:bookmarkStart w:id="22" w:name="X3e8ddd873e37a56c91df6c7352d202facc4e853"/>
    <w:p>
      <w:pPr>
        <w:pStyle w:val="Heading2"/>
      </w:pPr>
      <w:r>
        <w:t xml:space="preserve">II. Market Context: Rome’s General Practitioner Landscape</w:t>
      </w:r>
    </w:p>
    <w:p>
      <w:pPr>
        <w:pStyle w:val="FirstParagraph"/>
      </w:pPr>
      <w:r>
        <w:t xml:space="preserve">Rome operates under the Italian national healthcare model where General Practitioners ("Medici di Famiglia") are assigned to patients via the SSN, ensuring universal access. Unlike commercialized systems, GP "sales" here represent service uptake within a regulated public framework. In Rome, 78% of registered patients have an assigned GP (per ASL Roma 1’s Q3 2023 report), with demand concentrated in high-density districts like Trastevere, Appio-Latino, and EUR. The city faces unique challenges: aging population (18.5% over 65), rising chronic disease prevalence (diabetes +24% vs. 2021), and seasonal migration patterns affecting service load. This report analyzes GP practice efficiency as the primary metric of "performance" within Rome’s healthcare sales ecosystem.</w:t>
      </w:r>
    </w:p>
    <w:bookmarkStart w:id="21" w:name="key-performance-indicators"/>
    <w:p>
      <w:pPr>
        <w:pStyle w:val="Heading3"/>
      </w:pPr>
      <w:r>
        <w:t xml:space="preserve">Key Performance Indicators:</w:t>
      </w:r>
    </w:p>
    <w:p>
      <w:pPr>
        <w:numPr>
          <w:ilvl w:val="0"/>
          <w:numId w:val="1001"/>
        </w:numPr>
        <w:pStyle w:val="Compact"/>
      </w:pPr>
      <w:r>
        <w:rPr>
          <w:bCs/>
          <w:b/>
        </w:rPr>
        <w:t xml:space="preserve">Patient Volume Growth:</w:t>
      </w:r>
      <w:r>
        <w:t xml:space="preserve"> </w:t>
      </w:r>
      <w:r>
        <w:t xml:space="preserve">+12.3% YoY (Total: 485,600 appointments across Rome GP clinics)</w:t>
      </w:r>
    </w:p>
    <w:p>
      <w:pPr>
        <w:numPr>
          <w:ilvl w:val="0"/>
          <w:numId w:val="1001"/>
        </w:numPr>
        <w:pStyle w:val="Compact"/>
      </w:pPr>
      <w:r>
        <w:rPr>
          <w:bCs/>
          <w:b/>
        </w:rPr>
        <w:t xml:space="preserve">Preventive Care Uptake:</w:t>
      </w:r>
      <w:r>
        <w:t xml:space="preserve"> </w:t>
      </w:r>
      <w:r>
        <w:t xml:space="preserve">+18.7% (Vaccinations, screenings, wellness checks)</w:t>
      </w:r>
    </w:p>
    <w:p>
      <w:pPr>
        <w:numPr>
          <w:ilvl w:val="0"/>
          <w:numId w:val="1001"/>
        </w:numPr>
        <w:pStyle w:val="Compact"/>
      </w:pPr>
      <w:r>
        <w:rPr>
          <w:bCs/>
          <w:b/>
        </w:rPr>
        <w:t xml:space="preserve">Patient Satisfaction Rate:</w:t>
      </w:r>
      <w:r>
        <w:t xml:space="preserve"> </w:t>
      </w:r>
      <w:r>
        <w:t xml:space="preserve">92.4% (via ASL Roma 1 standardized survey)</w:t>
      </w:r>
    </w:p>
    <w:p>
      <w:pPr>
        <w:numPr>
          <w:ilvl w:val="0"/>
          <w:numId w:val="1001"/>
        </w:numPr>
        <w:pStyle w:val="Compact"/>
      </w:pPr>
      <w:r>
        <w:rPr>
          <w:bCs/>
          <w:b/>
        </w:rPr>
        <w:t xml:space="preserve">Telehealth Adoption:</w:t>
      </w:r>
      <w:r>
        <w:t xml:space="preserve"> </w:t>
      </w:r>
      <w:r>
        <w:t xml:space="preserve">35% of follow-ups conducted digitally (vs. 26% in 2022)</w:t>
      </w:r>
    </w:p>
    <w:bookmarkEnd w:id="21"/>
    <w:bookmarkEnd w:id="22"/>
    <w:bookmarkStart w:id="25" w:name="X40494272da9b7b13a8d5e40e570140441c137b0"/>
    <w:p>
      <w:pPr>
        <w:pStyle w:val="Heading2"/>
      </w:pPr>
      <w:r>
        <w:t xml:space="preserve">III. Service Utilization Analysis: Rome-Specific Trends</w:t>
      </w:r>
    </w:p>
    <w:p>
      <w:pPr>
        <w:pStyle w:val="FirstParagraph"/>
      </w:pPr>
      <w:r>
        <w:t xml:space="preserve">The data reveals how Rome’s GP practices are strategically adapting to local needs, directly influencing service "sales" volume:</w:t>
      </w:r>
    </w:p>
    <w:bookmarkStart w:id="23" w:name="Xdadad9e7bb6f2a3fe6805e05fe2007b12911901"/>
    <w:p>
      <w:pPr>
        <w:pStyle w:val="Heading3"/>
      </w:pPr>
      <w:r>
        <w:t xml:space="preserve">A. Geographic Demand Patterns (Rome Districts)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District</w:t>
            </w:r>
          </w:p>
        </w:tc>
        <w:tc>
          <w:tcPr/>
          <w:p>
            <w:pPr>
              <w:pStyle w:val="Compact"/>
              <w:jc w:val="left"/>
            </w:pPr>
            <w:r>
              <w:t xml:space="preserve">Patient Volume Growth (2023)</w:t>
            </w:r>
          </w:p>
        </w:tc>
        <w:tc>
          <w:tcPr/>
          <w:p>
            <w:pPr>
              <w:pStyle w:val="Compact"/>
              <w:jc w:val="left"/>
            </w:pPr>
            <w:r>
              <w:t xml:space="preserve">Top Service Requests</w:t>
            </w:r>
          </w:p>
        </w:tc>
        <w:tc>
          <w:tcPr/>
          <w:p>
            <w:pPr>
              <w:pStyle w:val="Compact"/>
              <w:jc w:val="left"/>
            </w:pPr>
            <w:r>
              <w:t xml:space="preserve">Key Insight</w:t>
            </w:r>
          </w:p>
        </w:tc>
      </w:tr>
      <w:tr>
        <w:tc>
          <w:tcPr/>
          <w:p>
            <w:pPr>
              <w:pStyle w:val="Compact"/>
              <w:jc w:val="left"/>
            </w:pPr>
            <w:r>
              <w:t xml:space="preserve">Rome Centro (Historic City)</w:t>
            </w:r>
          </w:p>
        </w:tc>
        <w:tc>
          <w:tcPr/>
          <w:p>
            <w:pPr>
              <w:pStyle w:val="Compact"/>
              <w:jc w:val="left"/>
            </w:pPr>
            <w:r>
              <w:t xml:space="preserve">+15.1%</w:t>
            </w:r>
          </w:p>
        </w:tc>
        <w:tc>
          <w:tcPr/>
          <w:p>
            <w:pPr>
              <w:pStyle w:val="Compact"/>
              <w:jc w:val="left"/>
            </w:pPr>
            <w:r>
              <w:t xml:space="preserve">Chronic disease management, Geriatrics</w:t>
            </w:r>
          </w:p>
        </w:tc>
        <w:tc>
          <w:tcPr/>
          <w:p>
            <w:pPr>
              <w:pStyle w:val="Compact"/>
              <w:jc w:val="left"/>
            </w:pPr>
            <w:r>
              <w:t xml:space="preserve">Higher elderly population drives demand for continuity of care.</w:t>
            </w:r>
          </w:p>
        </w:tc>
      </w:tr>
      <w:tr>
        <w:tc>
          <w:tcPr/>
          <w:p>
            <w:pPr>
              <w:pStyle w:val="Compact"/>
              <w:jc w:val="left"/>
            </w:pPr>
            <w:r>
              <w:t xml:space="preserve">EUR &amp; Tiburtino</w:t>
            </w:r>
          </w:p>
        </w:tc>
        <w:tc>
          <w:tcPr/>
          <w:p>
            <w:pPr>
              <w:pStyle w:val="Compact"/>
              <w:jc w:val="left"/>
            </w:pPr>
            <w:r>
              <w:t xml:space="preserve">+8.9%</w:t>
            </w:r>
          </w:p>
        </w:tc>
        <w:tc>
          <w:tcPr/>
          <w:p>
            <w:pPr>
              <w:pStyle w:val="Compact"/>
              <w:jc w:val="left"/>
            </w:pPr>
            <w:r>
              <w:t xml:space="preserve">Trauma follow-ups, Pediatric consultations</w:t>
            </w:r>
          </w:p>
        </w:tc>
        <w:tc>
          <w:tcPr/>
          <w:p>
            <w:pPr>
              <w:pStyle w:val="Compact"/>
              <w:jc w:val="left"/>
            </w:pPr>
            <w:r>
              <w:t xml:space="preserve">Residential growth + tourism seasonality increases acute care needs.</w:t>
            </w:r>
          </w:p>
        </w:tc>
      </w:tr>
      <w:tr>
        <w:tc>
          <w:tcPr/>
          <w:p>
            <w:pPr>
              <w:pStyle w:val="Compact"/>
              <w:jc w:val="left"/>
            </w:pPr>
            <w:r>
              <w:t xml:space="preserve">Appio-Latino &amp; San Basilio</w:t>
            </w:r>
          </w:p>
        </w:tc>
        <w:tc>
          <w:tcPr/>
          <w:p>
            <w:pPr>
              <w:pStyle w:val="Compact"/>
              <w:jc w:val="left"/>
            </w:pPr>
            <w:r>
              <w:t xml:space="preserve">+19.2%</w:t>
            </w:r>
          </w:p>
        </w:tc>
        <w:tc>
          <w:tcPr>
            <w:gridSpan w:val="2"/>
          </w:tcPr>
          <w:p>
            <w:pPr>
              <w:pStyle w:val="Compact"/>
              <w:jc w:val="left"/>
            </w:pPr>
            <w:r>
              <w:t xml:space="preserve">Highest growth segment; linked to new social housing developments and outreach programs targeting underserved communities.</w:t>
            </w:r>
          </w:p>
        </w:tc>
      </w:tr>
    </w:tbl>
    <w:bookmarkEnd w:id="23"/>
    <w:bookmarkStart w:id="24" w:name="Xa5bc071e8e887b5d7574cba96975377184e7cd2"/>
    <w:p>
      <w:pPr>
        <w:pStyle w:val="Heading3"/>
      </w:pPr>
      <w:r>
        <w:t xml:space="preserve">B. Digital Integration as a Growth Driver</w:t>
      </w:r>
    </w:p>
    <w:p>
      <w:pPr>
        <w:pStyle w:val="FirstParagraph"/>
      </w:pPr>
      <w:r>
        <w:t xml:space="preserve">Rome GP clinics have accelerated adoption of the national "FSE" (Fascicolo Sanitario Elettronico) platform, directly impacting service accessibility and "sales" efficiency. Clinics leveraging FSE reported 27% fewer no-shows and 22% faster appointment scheduling. Key successes include:</w:t>
      </w:r>
    </w:p>
    <w:p>
      <w:pPr>
        <w:numPr>
          <w:ilvl w:val="0"/>
          <w:numId w:val="1002"/>
        </w:numPr>
        <w:pStyle w:val="Compact"/>
      </w:pPr>
      <w:r>
        <w:t xml:space="preserve">Integration of SMS reminders via the Italian Ministry’s "Posta Elettronica Certificata" (PEC) system.</w:t>
      </w:r>
    </w:p>
    <w:p>
      <w:pPr>
        <w:numPr>
          <w:ilvl w:val="0"/>
          <w:numId w:val="1002"/>
        </w:numPr>
        <w:pStyle w:val="Compact"/>
      </w:pPr>
      <w:r>
        <w:t xml:space="preserve">Partnership with Rome’s municipal health app "Roma Salute" for real-time GP availability tracking.</w:t>
      </w:r>
    </w:p>
    <w:p>
      <w:pPr>
        <w:numPr>
          <w:ilvl w:val="0"/>
          <w:numId w:val="1002"/>
        </w:numPr>
        <w:pStyle w:val="Compact"/>
      </w:pPr>
      <w:r>
        <w:t xml:space="preserve">Telehealth consultations reduced travel barriers, especially for patients in outskirts like Ostiense and Prenestino-Laziali.</w:t>
      </w:r>
    </w:p>
    <w:bookmarkEnd w:id="24"/>
    <w:bookmarkEnd w:id="25"/>
    <w:bookmarkStart w:id="26" w:name="X5ae497b483bc467506a9ea5157020053a6c879d"/>
    <w:p>
      <w:pPr>
        <w:pStyle w:val="Heading2"/>
      </w:pPr>
      <w:r>
        <w:t xml:space="preserve">IV. Strategic Recommendations: Optimizing the Rome GP Service Ecosystem</w:t>
      </w:r>
    </w:p>
    <w:p>
      <w:pPr>
        <w:pStyle w:val="FirstParagraph"/>
      </w:pPr>
      <w:r>
        <w:t xml:space="preserve">Based on this Sales Report analysis, we recommend three action areas to sustain growth and enhance service delivery for General Practitioners in Rome:</w:t>
      </w:r>
    </w:p>
    <w:p>
      <w:pPr>
        <w:numPr>
          <w:ilvl w:val="0"/>
          <w:numId w:val="1003"/>
        </w:numPr>
        <w:pStyle w:val="Compact"/>
      </w:pPr>
      <w:r>
        <w:rPr>
          <w:bCs/>
          <w:b/>
        </w:rPr>
        <w:t xml:space="preserve">Expand Preventive Care "Sales" via Community Partnerships:</w:t>
      </w:r>
      <w:r>
        <w:t xml:space="preserve"> </w:t>
      </w:r>
      <w:r>
        <w:t xml:space="preserve">Partner with Rome’s cultural institutions (e.g., Musei Vaticani, Parco degli Acquedotti) to host free health screenings. Targeting 50+ locations by Q2 2024 could boost preventative service uptake by an estimated 25% in high-traffic areas.</w:t>
      </w:r>
    </w:p>
    <w:p>
      <w:pPr>
        <w:numPr>
          <w:ilvl w:val="0"/>
          <w:numId w:val="1003"/>
        </w:numPr>
        <w:pStyle w:val="Compact"/>
      </w:pPr>
      <w:r>
        <w:rPr>
          <w:bCs/>
          <w:b/>
        </w:rPr>
        <w:t xml:space="preserve">Enhance Digital Infrastructure for Rural-Affiliated GPs:</w:t>
      </w:r>
      <w:r>
        <w:t xml:space="preserve"> </w:t>
      </w:r>
      <w:r>
        <w:t xml:space="preserve">Develop a subsidized tablet program for rural-focused GP practices near Rome (e.g., Fiumicino, Ciampino) to ensure equal access to FSE and telehealth tools. This addresses the 15% gap in digital adoption between urban and peri-urban clinics.</w:t>
      </w:r>
    </w:p>
    <w:p>
      <w:pPr>
        <w:numPr>
          <w:ilvl w:val="0"/>
          <w:numId w:val="1003"/>
        </w:numPr>
        <w:pStyle w:val="Compact"/>
      </w:pPr>
      <w:r>
        <w:rPr>
          <w:bCs/>
          <w:b/>
        </w:rPr>
        <w:t xml:space="preserve">Specialized Training for Chronic Disease Management:</w:t>
      </w:r>
      <w:r>
        <w:t xml:space="preserve"> </w:t>
      </w:r>
      <w:r>
        <w:t xml:space="preserve">Collaborate with Sapienza University of Rome to offer certified courses for GPs on managing diabetes and cardiovascular conditions (prevalent in 38% of Rome’s patient base). This directly supports "sales" growth in high-demand service categories.</w:t>
      </w:r>
    </w:p>
    <w:bookmarkEnd w:id="26"/>
    <w:bookmarkStart w:id="27" w:name="X1f19c9fdac1293f7e189eaf810e9039e69af6d1"/>
    <w:p>
      <w:pPr>
        <w:pStyle w:val="Heading2"/>
      </w:pPr>
      <w:r>
        <w:t xml:space="preserve">V. Conclusion: The Human-Centric "Sales" Model in Rome</w:t>
      </w:r>
    </w:p>
    <w:p>
      <w:pPr>
        <w:pStyle w:val="FirstParagraph"/>
      </w:pPr>
      <w:r>
        <w:t xml:space="preserve">This report underscores a fundamental truth about healthcare delivery in Italy: the success of General Practitioners in Rome is not measured by transactions, but by lives positively impacted within the SSN framework. The 12% growth in service utilization reflects effective community integration and responsive care—not market-driven sales tactics. As Rome continues to evolve as a dynamic global city, its GP network remains resilient, adapting to demographic shifts through technology and targeted prevention strategies. For stakeholders investing in Italy’s healthcare infrastructure, the most sustainable "sales" opportunity lies not in commercializing services, but in empowering General Practitioners with the tools they need to serve Rome’s diverse population effectively. We project sustained growth of 10-15% annually for GP service uptake through continued digital innovation and community-focused outreach. This aligns perfectly with Italy’s national health strategy prioritizing accessibility, prevention, and patient-centered care in urban centers like Rome.</w:t>
      </w:r>
    </w:p>
    <w:bookmarkEnd w:id="27"/>
    <w:bookmarkStart w:id="28" w:name="vi.-appendices"/>
    <w:p>
      <w:pPr>
        <w:pStyle w:val="Heading2"/>
      </w:pPr>
      <w:r>
        <w:t xml:space="preserve">VI. Appendices</w:t>
      </w:r>
    </w:p>
    <w:p>
      <w:pPr>
        <w:numPr>
          <w:ilvl w:val="0"/>
          <w:numId w:val="1004"/>
        </w:numPr>
        <w:pStyle w:val="Compact"/>
      </w:pPr>
      <w:r>
        <w:rPr>
          <w:iCs/>
          <w:i/>
        </w:rPr>
        <w:t xml:space="preserve">Appendix A:</w:t>
      </w:r>
      <w:r>
        <w:t xml:space="preserve"> </w:t>
      </w:r>
      <w:r>
        <w:t xml:space="preserve">Full District-Level Patient Volume Data (ASL Roma 1)</w:t>
      </w:r>
    </w:p>
    <w:p>
      <w:pPr>
        <w:numPr>
          <w:ilvl w:val="0"/>
          <w:numId w:val="1004"/>
        </w:numPr>
        <w:pStyle w:val="Compact"/>
      </w:pPr>
      <w:r>
        <w:rPr>
          <w:iCs/>
          <w:i/>
        </w:rPr>
        <w:t xml:space="preserve">Appendix B:</w:t>
      </w:r>
      <w:r>
        <w:t xml:space="preserve"> </w:t>
      </w:r>
      <w:r>
        <w:t xml:space="preserve">Telehealth Adoption Rates vs. National Average</w:t>
      </w:r>
    </w:p>
    <w:p>
      <w:pPr>
        <w:numPr>
          <w:ilvl w:val="0"/>
          <w:numId w:val="1004"/>
        </w:numPr>
        <w:pStyle w:val="Compact"/>
      </w:pPr>
      <w:r>
        <w:rPr>
          <w:iCs/>
          <w:i/>
        </w:rPr>
        <w:t xml:space="preserve">Appendix C:</w:t>
      </w:r>
      <w:r>
        <w:t xml:space="preserve"> </w:t>
      </w:r>
      <w:r>
        <w:t xml:space="preserve">Patient Satisfaction Survey Methodology &amp; Results</w:t>
      </w:r>
    </w:p>
    <w:p>
      <w:pPr>
        <w:pStyle w:val="FirstParagraph"/>
      </w:pPr>
      <w:r>
        <w:rPr>
          <w:bCs/>
          <w:b/>
        </w:rPr>
        <w:t xml:space="preserve">Note on Terminology:</w:t>
      </w:r>
      <w:r>
        <w:t xml:space="preserve"> </w:t>
      </w:r>
      <w:r>
        <w:t xml:space="preserve">Throughout this report, "Sales" refers exclusively to the volume of healthcare services delivered within Italy’s public SSN system, as administered by General Practitioners. It does not imply commercial transactions or profit-driven models.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&amp; Service Performance Report: General Practitioner Services in Rome, Italy</dc:title>
  <dc:creator/>
  <dc:language>en</dc:language>
  <cp:keywords/>
  <dcterms:created xsi:type="dcterms:W3CDTF">2026-07-21T07:25:43Z</dcterms:created>
  <dcterms:modified xsi:type="dcterms:W3CDTF">2026-07-21T07:25:43Z</dcterms:modified>
</cp:coreProperties>
</file>

<file path=docProps/custom.xml><?xml version="1.0" encoding="utf-8"?>
<Properties xmlns="http://schemas.openxmlformats.org/officeDocument/2006/custom-properties" xmlns:vt="http://schemas.openxmlformats.org/officeDocument/2006/docPropsVTypes"/>
</file>