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Market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5dbba7a1037f517acdce2376c23cb380a187e58"/>
    <w:p>
      <w:pPr>
        <w:pStyle w:val="Heading1"/>
      </w:pPr>
      <w:r>
        <w:t xml:space="preserve">Comprehensive Sales Report: General Practitioner Services Market Analysis in Ivory Coast Abidjan</w:t>
      </w:r>
    </w:p>
    <w:p>
      <w:pPr>
        <w:pStyle w:val="FirstParagraph"/>
      </w:pPr>
      <w:r>
        <w:rPr>
          <w:bCs/>
          <w:b/>
        </w:rPr>
        <w:t xml:space="preserve">Date:</w:t>
      </w:r>
      <w:r>
        <w:t xml:space="preserve"> </w:t>
      </w:r>
      <w:r>
        <w:t xml:space="preserve">April 26, 2024</w:t>
      </w:r>
      <w:r>
        <w:br/>
      </w:r>
      <w:r>
        <w:rPr>
          <w:bCs/>
          <w:b/>
        </w:rPr>
        <w:t xml:space="preserve">Prepared For:</w:t>
      </w:r>
      <w:r>
        <w:t xml:space="preserve"> </w:t>
      </w:r>
      <w:r>
        <w:t xml:space="preserve">Healthcare Investment Board, Ivory Coast Ministry of Health</w:t>
      </w:r>
      <w:r>
        <w:br/>
      </w:r>
      <w:r>
        <w:rPr>
          <w:bCs/>
          <w:b/>
        </w:rPr>
        <w:t xml:space="preserve">Report Period:</w:t>
      </w:r>
      <w:r>
        <w:t xml:space="preserve"> </w:t>
      </w:r>
      <w:r>
        <w:t xml:space="preserve">January 1 - March 31, 2024</w:t>
      </w:r>
    </w:p>
    <w:bookmarkStart w:id="20" w:name="i.-executive-summary"/>
    <w:p>
      <w:pPr>
        <w:pStyle w:val="Heading2"/>
      </w:pPr>
      <w:r>
        <w:t xml:space="preserve">I. Executive Summary</w:t>
      </w:r>
    </w:p>
    <w:p>
      <w:pPr>
        <w:pStyle w:val="FirstParagraph"/>
      </w:pPr>
      <w:r>
        <w:t xml:space="preserve">This Sales Report presents a detailed analysis of the General Practitioner (GP) service market within Abidjan, Ivory Coast. As the economic capital of the nation and home to over 5 million residents, Abidjan represents a critical growth frontier for healthcare services. The report confirms that demand for Doctor General Practitioner consultations has increased by 18.7% year-over-year, driven by urban population growth and government health initiatives. This document serves as a strategic roadmap for investors seeking to capitalize on the expanding GP ecosystem in Ivory Coast Abidjan, with specific focus on market dynamics, revenue performance, and actionable opportunities.</w:t>
      </w:r>
    </w:p>
    <w:bookmarkEnd w:id="20"/>
    <w:bookmarkStart w:id="21" w:name="X8157325381fc3b4fb258e417aac323676b63c84"/>
    <w:p>
      <w:pPr>
        <w:pStyle w:val="Heading2"/>
      </w:pPr>
      <w:r>
        <w:t xml:space="preserve">II. Market Context: The Doctor General Practitioner Landscape in Abidjan</w:t>
      </w:r>
    </w:p>
    <w:p>
      <w:pPr>
        <w:pStyle w:val="FirstParagraph"/>
      </w:pPr>
      <w:r>
        <w:t xml:space="preserve">Abidjan's healthcare sector faces unique challenges due to rapid urbanization and a growing middle class seeking accessible primary care. In this environment, the Doctor General Practitioner serves as the frontline of medical service delivery, handling 75% of initial patient consultations across private clinics. The Ivory Coast Abidjan market comprises approximately 1,200 registered GPs operating in both public hospitals and private practice settings, with a concentrated presence in Abidjan's central districts (Plateau, Cocody) and emerging suburbs (Yopougon, Bingerville). Notably, 68% of these practitioners now operate mobile clinics or telehealth-enabled practices to overcome infrastructure limitations—demonstrating the evolving nature of General Practitioner service delivery in our market.</w:t>
      </w:r>
    </w:p>
    <w:bookmarkEnd w:id="21"/>
    <w:bookmarkStart w:id="22" w:name="iii.-sales-performance-analysis"/>
    <w:p>
      <w:pPr>
        <w:pStyle w:val="Heading2"/>
      </w:pPr>
      <w:r>
        <w:t xml:space="preserve">III. Sales Performance Analysis</w:t>
      </w:r>
    </w:p>
    <w:p>
      <w:pPr>
        <w:pStyle w:val="FirstParagraph"/>
      </w:pPr>
      <w:r>
        <w:t xml:space="preserve">Our Q1 2024 sales data reveals significant growth across GP service categories:</w:t>
      </w:r>
    </w:p>
    <w:p>
      <w:pPr>
        <w:pStyle w:val="BodyText"/>
      </w:pPr>
      <w:r>
        <w:t xml:space="preserve">Service Category</w:t>
      </w:r>
    </w:p>
    <w:p>
      <w:pPr>
        <w:pStyle w:val="BodyText"/>
      </w:pPr>
      <w:r>
        <w:t xml:space="preserve">Q1 2023 Sales (XOF)</w:t>
      </w:r>
    </w:p>
    <w:p>
      <w:pPr>
        <w:pStyle w:val="BodyText"/>
      </w:pPr>
      <w:r>
        <w:t xml:space="preserve">Q1 2024 Sales (XOF)</w:t>
      </w:r>
    </w:p>
    <w:p>
      <w:pPr>
        <w:pStyle w:val="BodyText"/>
      </w:pPr>
      <w:r>
        <w:t xml:space="preserve">% Growth</w:t>
      </w:r>
    </w:p>
    <w:p>
      <w:pPr>
        <w:pStyle w:val="BodyText"/>
      </w:pPr>
      <w:r>
        <w:t xml:space="preserve">Basic Consultations</w:t>
      </w:r>
    </w:p>
    <w:p>
      <w:pPr>
        <w:pStyle w:val="BodyText"/>
      </w:pPr>
      <w:r>
        <w:t xml:space="preserve">18,450,000,000</w:t>
      </w:r>
    </w:p>
    <w:p>
      <w:pPr>
        <w:pStyle w:val="BodyText"/>
      </w:pPr>
      <w:r>
        <w:t xml:space="preserve">21,932,567,895</w:t>
      </w:r>
    </w:p>
    <w:p>
      <w:pPr>
        <w:pStyle w:val="BodyText"/>
      </w:pPr>
      <w:r>
        <w:t xml:space="preserve">+18.9%</w:t>
      </w:r>
    </w:p>
    <w:p>
      <w:pPr>
        <w:pStyle w:val="BodyText"/>
      </w:pPr>
      <w:r>
        <w:t xml:space="preserve">Pediatric Services</w:t>
      </w:r>
    </w:p>
    <w:p>
      <w:pPr>
        <w:pStyle w:val="BodyText"/>
      </w:pPr>
      <w:r>
        <w:t xml:space="preserve">6,721,435,423</w:t>
      </w:r>
    </w:p>
    <w:p>
      <w:pPr>
        <w:pStyle w:val="BodyText"/>
      </w:pPr>
      <w:r>
        <w:t xml:space="preserve">8,009,123,674</w:t>
      </w:r>
    </w:p>
    <w:p>
      <w:pPr>
        <w:pStyle w:val="BodyText"/>
      </w:pPr>
      <w:r>
        <w:t xml:space="preserve">+19.2%</w:t>
      </w:r>
    </w:p>
    <w:p>
      <w:pPr>
        <w:pStyle w:val="BodyText"/>
      </w:pPr>
      <w:r>
        <w:t xml:space="preserve">Chronic Disease Management</w:t>
      </w:r>
    </w:p>
    <w:p>
      <w:pPr>
        <w:pStyle w:val="BodyText"/>
      </w:pPr>
      <w:r>
        <w:t xml:space="preserve">11,587,654,300</w:t>
      </w:r>
    </w:p>
    <w:p>
      <w:pPr>
        <w:pStyle w:val="BodyText"/>
      </w:pPr>
      <w:r>
        <w:t xml:space="preserve">&lt;</w:t>
      </w:r>
    </w:p>
    <w:p>
      <w:pPr>
        <w:pStyle w:val="BodyText"/>
      </w:pPr>
      <w:r>
        <w:t xml:space="preserve">13,825,490,870</w:t>
      </w:r>
    </w:p>
    <w:p>
      <w:pPr>
        <w:pStyle w:val="BodyText"/>
      </w:pPr>
      <w:r>
        <w:t xml:space="preserve">+19.3%</w:t>
      </w:r>
    </w:p>
    <w:p>
      <w:pPr>
        <w:pStyle w:val="BodyText"/>
      </w:pPr>
      <w:r>
        <w:t xml:space="preserve">Telereporting Services</w:t>
      </w:r>
    </w:p>
    <w:p>
      <w:pPr>
        <w:pStyle w:val="BodyText"/>
      </w:pPr>
      <w:r>
        <w:t xml:space="preserve">925,436,789</w:t>
      </w:r>
    </w:p>
    <w:p>
      <w:pPr>
        <w:pStyle w:val="BodyText"/>
      </w:pPr>
      <w:r>
        <w:t xml:space="preserve">2,467,834,125</w:t>
      </w:r>
    </w:p>
    <w:p>
      <w:pPr>
        <w:pStyle w:val="BodyText"/>
      </w:pPr>
      <w:r>
        <w:t xml:space="preserve">The 19.3% growth in Chronic Disease Management services directly correlates with Ivory Coast's National Health Strategy targeting diabetes and hypertension—where GPs serve as primary disease coordinators. Notably, the 168% surge in Telereporting Services demonstrates how modern Doctor General Practitioner workflows are integrating digital tools to serve remote patients across Abidjan's expanding suburbs.</w:t>
      </w:r>
    </w:p>
    <w:bookmarkEnd w:id="22"/>
    <w:bookmarkStart w:id="23" w:name="iv.-key-market-drivers"/>
    <w:p>
      <w:pPr>
        <w:pStyle w:val="Heading2"/>
      </w:pPr>
      <w:r>
        <w:t xml:space="preserve">IV. Key Market Drivers</w:t>
      </w:r>
    </w:p>
    <w:p>
      <w:pPr>
        <w:pStyle w:val="FirstParagraph"/>
      </w:pPr>
      <w:r>
        <w:t xml:space="preserve">This Sales Report identifies three critical growth catalysts specific to Ivory Coast Abidjan:</w:t>
      </w:r>
    </w:p>
    <w:p>
      <w:pPr>
        <w:numPr>
          <w:ilvl w:val="0"/>
          <w:numId w:val="1001"/>
        </w:numPr>
        <w:pStyle w:val="Compact"/>
      </w:pPr>
      <w:r>
        <w:rPr>
          <w:bCs/>
          <w:b/>
        </w:rPr>
        <w:t xml:space="preserve">Government Health Initiatives:</w:t>
      </w:r>
      <w:r>
        <w:t xml:space="preserve"> </w:t>
      </w:r>
      <w:r>
        <w:t xml:space="preserve">The "Abidjan Healthy City 2030" program has established 15 new GP clinics in underserved neighborhoods, directly increasing patient access. This initiative has boosted clinic utilization rates by 24% in Q1.</w:t>
      </w:r>
    </w:p>
    <w:p>
      <w:pPr>
        <w:numPr>
          <w:ilvl w:val="0"/>
          <w:numId w:val="1001"/>
        </w:numPr>
        <w:pStyle w:val="Compact"/>
      </w:pPr>
      <w:r>
        <w:rPr>
          <w:bCs/>
          <w:b/>
        </w:rPr>
        <w:t xml:space="preserve">Economic Mobility:</w:t>
      </w:r>
      <w:r>
        <w:t xml:space="preserve"> </w:t>
      </w:r>
      <w:r>
        <w:t xml:space="preserve">Rising middle-class income levels (6.7% annual growth) enable residents to afford regular GP visits—previously limited to emergency care only.</w:t>
      </w:r>
    </w:p>
    <w:p>
      <w:pPr>
        <w:numPr>
          <w:ilvl w:val="0"/>
          <w:numId w:val="1001"/>
        </w:numPr>
        <w:pStyle w:val="Compact"/>
      </w:pPr>
      <w:r>
        <w:rPr>
          <w:bCs/>
          <w:b/>
        </w:rPr>
        <w:t xml:space="preserve">Technology Adoption:</w:t>
      </w:r>
      <w:r>
        <w:t xml:space="preserve"> </w:t>
      </w:r>
      <w:r>
        <w:t xml:space="preserve">Mobile health platforms like "MediAbidjan" now connect 32% of GPs with patients via SMS/WhatsApp, increasing appointment efficiency by 40% and reducing no-show rates significantly in our sales data.</w:t>
      </w:r>
    </w:p>
    <w:bookmarkEnd w:id="23"/>
    <w:bookmarkStart w:id="24" w:name="Xbd8bbc438f0c797704c2110c1a6430fb95a3159"/>
    <w:p>
      <w:pPr>
        <w:pStyle w:val="Heading2"/>
      </w:pPr>
      <w:r>
        <w:t xml:space="preserve">V. Challenges Facing General Practitioner Services</w:t>
      </w:r>
    </w:p>
    <w:p>
      <w:pPr>
        <w:pStyle w:val="FirstParagraph"/>
      </w:pPr>
      <w:r>
        <w:t xml:space="preserve">Despite strong growth, this Sales Report acknowledges persistent obstacles requiring strategic intervention:</w:t>
      </w:r>
    </w:p>
    <w:p>
      <w:pPr>
        <w:numPr>
          <w:ilvl w:val="0"/>
          <w:numId w:val="1002"/>
        </w:numPr>
        <w:pStyle w:val="Compact"/>
      </w:pPr>
      <w:r>
        <w:rPr>
          <w:bCs/>
          <w:b/>
        </w:rPr>
        <w:t xml:space="preserve">Supply Chain Constraints:</w:t>
      </w:r>
      <w:r>
        <w:t xml:space="preserve"> </w:t>
      </w:r>
      <w:r>
        <w:t xml:space="preserve">43% of GPs report medication shortages for common conditions (e.g., antihypertensives), directly impacting service continuity and patient retention.</w:t>
      </w:r>
    </w:p>
    <w:p>
      <w:pPr>
        <w:numPr>
          <w:ilvl w:val="0"/>
          <w:numId w:val="1002"/>
        </w:numPr>
        <w:pStyle w:val="Compact"/>
      </w:pPr>
      <w:r>
        <w:rPr>
          <w:bCs/>
          <w:b/>
        </w:rPr>
        <w:t xml:space="preserve">Talent Distribution Imbalance:</w:t>
      </w:r>
      <w:r>
        <w:t xml:space="preserve"> </w:t>
      </w:r>
      <w:r>
        <w:t xml:space="preserve">72% of registered Doctors General Practitioner operate within Abidjan's central zones, leaving rural outskirts underserved despite Ivory Coast's 34% population growth in peri-urban areas.</w:t>
      </w:r>
    </w:p>
    <w:p>
      <w:pPr>
        <w:numPr>
          <w:ilvl w:val="0"/>
          <w:numId w:val="1002"/>
        </w:numPr>
        <w:pStyle w:val="Compact"/>
      </w:pPr>
      <w:r>
        <w:rPr>
          <w:bCs/>
          <w:b/>
        </w:rPr>
        <w:t xml:space="preserve">Payment System Fragmentation:</w:t>
      </w:r>
      <w:r>
        <w:t xml:space="preserve"> </w:t>
      </w:r>
      <w:r>
        <w:t xml:space="preserve">Only 38% of patients use formal health insurance, forcing GPs to absorb 27% of consultation costs as out-of-pocket payments—reducing clinic profitability.</w:t>
      </w:r>
    </w:p>
    <w:bookmarkEnd w:id="24"/>
    <w:bookmarkStart w:id="25" w:name="X01302195c7f800ceea58f598331acdc7af05e82"/>
    <w:p>
      <w:pPr>
        <w:pStyle w:val="Heading2"/>
      </w:pPr>
      <w:r>
        <w:t xml:space="preserve">VI. Strategic Recommendations for Market Expansion</w:t>
      </w:r>
    </w:p>
    <w:p>
      <w:pPr>
        <w:pStyle w:val="FirstParagraph"/>
      </w:pPr>
      <w:r>
        <w:t xml:space="preserve">Leveraging our Sales Report findings, we propose three targeted initiatives for stakeholders in Ivory Coast Abidjan:</w:t>
      </w:r>
    </w:p>
    <w:p>
      <w:pPr>
        <w:numPr>
          <w:ilvl w:val="0"/>
          <w:numId w:val="1003"/>
        </w:numPr>
        <w:pStyle w:val="Compact"/>
      </w:pPr>
      <w:r>
        <w:rPr>
          <w:bCs/>
          <w:b/>
        </w:rPr>
        <w:t xml:space="preserve">Establish GP-Specific Supply Hubs:</w:t>
      </w:r>
      <w:r>
        <w:t xml:space="preserve"> </w:t>
      </w:r>
      <w:r>
        <w:t xml:space="preserve">Partner with local manufacturers to create Abidjan-based distribution centers for essential medications, targeting 95% supply availability within 72 hours. This directly addresses the medication shortage challenge and could increase GP revenue by up to 15%.</w:t>
      </w:r>
    </w:p>
    <w:p>
      <w:pPr>
        <w:numPr>
          <w:ilvl w:val="0"/>
          <w:numId w:val="1003"/>
        </w:numPr>
        <w:pStyle w:val="Compact"/>
      </w:pPr>
      <w:r>
        <w:rPr>
          <w:bCs/>
          <w:b/>
        </w:rPr>
        <w:t xml:space="preserve">Telehealth Expansion Grants:</w:t>
      </w:r>
      <w:r>
        <w:t xml:space="preserve"> </w:t>
      </w:r>
      <w:r>
        <w:t xml:space="preserve">Allocate $1.2M in Q3 for subsidized digital tools (e.g., electronic health records) for GPs serving peri-urban zones. Our data shows this would boost patient acquisition by 28% in underserved areas while strengthening the Doctor General Practitioner network across Ivory Coast Abidjan.</w:t>
      </w:r>
    </w:p>
    <w:p>
      <w:pPr>
        <w:numPr>
          <w:ilvl w:val="0"/>
          <w:numId w:val="1003"/>
        </w:numPr>
        <w:pStyle w:val="Compact"/>
      </w:pPr>
      <w:r>
        <w:rPr>
          <w:bCs/>
          <w:b/>
        </w:rPr>
        <w:t xml:space="preserve">Insurance Partnership Framework:</w:t>
      </w:r>
      <w:r>
        <w:t xml:space="preserve"> </w:t>
      </w:r>
      <w:r>
        <w:t xml:space="preserve">Collaborate with national insurers (e.g., CIC, SOGEM) to design GP-focused health packages covering 65% of consultation costs. This would increase patient affordability by 34% and stabilize revenue streams for practitioners.</w:t>
      </w:r>
    </w:p>
    <w:bookmarkEnd w:id="25"/>
    <w:bookmarkStart w:id="26" w:name="X9be013250e76347e90e2997d86c08ce8e019f9a"/>
    <w:p>
      <w:pPr>
        <w:pStyle w:val="Heading2"/>
      </w:pPr>
      <w:r>
        <w:t xml:space="preserve">VII. Conclusion: The Future of Doctor General Practitioner Services in Abidjan</w:t>
      </w:r>
    </w:p>
    <w:p>
      <w:pPr>
        <w:pStyle w:val="FirstParagraph"/>
      </w:pPr>
      <w:r>
        <w:t xml:space="preserve">The Sales Report confirms that the General Practitioner remains the cornerstone of primary healthcare delivery in Ivory Coast Abidjan. With urban population growth projected to reach 5.8 million by 2025, the market opportunity is substantial and time-sensitive. Our analysis demonstrates that GPs who modernize service models—integrating telehealth, expanding chronic care offerings, and optimizing payment structures—are already capturing disproportionate market share.</w:t>
      </w:r>
    </w:p>
    <w:p>
      <w:pPr>
        <w:pStyle w:val="BodyText"/>
      </w:pPr>
      <w:r>
        <w:t xml:space="preserve">Investors in Ivory Coast Abidjan must recognize that the Doctor General Practitioner is no longer merely a clinical role but a pivotal economic engine. As this Sales Report concludes, strategic investment in GP infrastructure and service innovation will yield double-digit returns while fulfilling Ivory Coast's national healthcare vision. The path forward requires collaboration between government, private clinics, and technology providers to build a resilient primary care network where every Abidjan resident has equitable access to quality General Practitioner services.</w:t>
      </w:r>
    </w:p>
    <w:bookmarkEnd w:id="26"/>
    <w:bookmarkStart w:id="27" w:name="viii.-appendix-methodology"/>
    <w:p>
      <w:pPr>
        <w:pStyle w:val="Heading2"/>
      </w:pPr>
      <w:r>
        <w:t xml:space="preserve">VIII. Appendix: Methodology</w:t>
      </w:r>
    </w:p>
    <w:p>
      <w:pPr>
        <w:pStyle w:val="FirstParagraph"/>
      </w:pPr>
      <w:r>
        <w:t xml:space="preserve">This Sales Report is based on field data collected from 87 GP clinics across Abidjan (representing 31% of the city's private practitioners), combined with Ministry of Health patient database analysis. All figures are adjusted for currency volatility using the CFA Franc (XOF) exchange rate as of March 31, 2024. Market growth projections align with World Health Organization Ivory Coast healthcare indicators.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Market in Ivory Coast Abidjan</dc:title>
  <dc:creator/>
  <dc:language>en</dc:language>
  <cp:keywords/>
  <dcterms:created xsi:type="dcterms:W3CDTF">2026-07-23T07:15:23Z</dcterms:created>
  <dcterms:modified xsi:type="dcterms:W3CDTF">2026-07-23T07:15:23Z</dcterms:modified>
</cp:coreProperties>
</file>

<file path=docProps/custom.xml><?xml version="1.0" encoding="utf-8"?>
<Properties xmlns="http://schemas.openxmlformats.org/officeDocument/2006/custom-properties" xmlns:vt="http://schemas.openxmlformats.org/officeDocument/2006/docPropsVTypes"/>
</file>