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w:t>
      </w:r>
      <w:r>
        <w:t xml:space="preserve"> </w:t>
      </w:r>
      <w:r>
        <w:t xml:space="preserve">Osaka</w:t>
      </w:r>
      <w:r>
        <w:t xml:space="preserve"> </w:t>
      </w:r>
      <w:r>
        <w:t xml:space="preserve">Market</w:t>
      </w:r>
      <w:r>
        <w:t xml:space="preserve"> </w:t>
      </w:r>
      <w:r>
        <w:t xml:space="preserve">Analysis</w:t>
      </w:r>
    </w:p>
    <w:bookmarkStart w:id="27" w:name="X4c3463bdf2bc0b409af2a196b6d85c2fe97449d"/>
    <w:p>
      <w:pPr>
        <w:pStyle w:val="Heading1"/>
      </w:pPr>
      <w:r>
        <w:t xml:space="preserve">Sales Report: General Practitioner Staffing Solutions for Healthcare Providers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Healthcare Partners</w:t>
      </w:r>
      <w:r>
        <w:br/>
      </w:r>
      <w:r>
        <w:rPr>
          <w:bCs/>
          <w:b/>
        </w:rPr>
        <w:t xml:space="preserve">Prepared By:</w:t>
      </w:r>
      <w:r>
        <w:t xml:space="preserve"> </w:t>
      </w:r>
      <w:r>
        <w:t xml:space="preserve">Southeast Asia Medical Solutions Division</w:t>
      </w:r>
    </w:p>
    <w:bookmarkStart w:id="20" w:name="i.-executive-summary"/>
    <w:p>
      <w:pPr>
        <w:pStyle w:val="Heading2"/>
      </w:pPr>
      <w:r>
        <w:t xml:space="preserve">I. Executive Summary</w:t>
      </w:r>
    </w:p>
    <w:p>
      <w:pPr>
        <w:pStyle w:val="FirstParagraph"/>
      </w:pPr>
      <w:r>
        <w:t xml:space="preserve">This report details strategic sales performance and market opportunities for General Practitioner (GP) recruitment services targeting healthcare facilities across Osaka, Japan. Despite Osaka's status as a global economic hub with 2.6 million residents in the central business district alone, the region faces a critical shortage of qualified Doctor General Practitioners—exacerbating wait times and straining public health resources. Our sales initiatives have secured 14 new contracts with Osaka-based clinics and hospitals in Q3 2023, representing a 37% year-over-year growth in service adoption. This report confirms the high demand for specialized GP placement services within Japan's most populous urban center.</w:t>
      </w:r>
    </w:p>
    <w:bookmarkEnd w:id="20"/>
    <w:bookmarkStart w:id="21" w:name="X2bfa5a60d54ef5a9d6e8e82d701a947fb6af9ab"/>
    <w:p>
      <w:pPr>
        <w:pStyle w:val="Heading2"/>
      </w:pPr>
      <w:r>
        <w:t xml:space="preserve">II. Market Analysis: The Osaka Doctor General Practitioner Gap</w:t>
      </w:r>
    </w:p>
    <w:p>
      <w:pPr>
        <w:pStyle w:val="FirstParagraph"/>
      </w:pPr>
      <w:r>
        <w:t xml:space="preserve">Osaka Prefecture operates under Japan's national healthcare framework but exhibits unique challenges requiring localized solutions. Current data reveals:</w:t>
      </w:r>
    </w:p>
    <w:p>
      <w:pPr>
        <w:numPr>
          <w:ilvl w:val="0"/>
          <w:numId w:val="1001"/>
        </w:numPr>
        <w:pStyle w:val="Compact"/>
      </w:pPr>
      <w:r>
        <w:rPr>
          <w:bCs/>
          <w:b/>
        </w:rPr>
        <w:t xml:space="preserve">GP Shortage Crisis:</w:t>
      </w:r>
      <w:r>
        <w:t xml:space="preserve"> </w:t>
      </w:r>
      <w:r>
        <w:t xml:space="preserve">48% of Osaka clinics report vacant GP positions (Ministry of Health, Labour and Welfare, 2023), compared to the national average of 35%. The aging population (27.1% aged 65+) directly correlates with rising demand for primary care.</w:t>
      </w:r>
    </w:p>
    <w:p>
      <w:pPr>
        <w:numPr>
          <w:ilvl w:val="0"/>
          <w:numId w:val="1001"/>
        </w:numPr>
        <w:pStyle w:val="Compact"/>
      </w:pPr>
      <w:r>
        <w:rPr>
          <w:bCs/>
          <w:b/>
        </w:rPr>
        <w:t xml:space="preserve">Cultural Context:</w:t>
      </w:r>
      <w:r>
        <w:t xml:space="preserve"> </w:t>
      </w:r>
      <w:r>
        <w:t xml:space="preserve">Osaka residents prioritize "omotenashi" (anticipatory hospitality) in healthcare, demanding GPs who navigate Japanese communication protocols while providing compassionate care—a skillset rarely found in international candidates without local training.</w:t>
      </w:r>
    </w:p>
    <w:p>
      <w:pPr>
        <w:numPr>
          <w:ilvl w:val="0"/>
          <w:numId w:val="1001"/>
        </w:numPr>
        <w:pStyle w:val="Compact"/>
      </w:pPr>
      <w:r>
        <w:rPr>
          <w:bCs/>
          <w:b/>
        </w:rPr>
        <w:t xml:space="preserve">Regulatory Landscape:</w:t>
      </w:r>
      <w:r>
        <w:t xml:space="preserve"> </w:t>
      </w:r>
      <w:r>
        <w:t xml:space="preserve">Japan requires all Doctor General Practitioners to hold a valid license from the Osaka Prefectural Medical Association. Our sales strategy prioritizes candidates pre-vetted for compliance with Osaka's strict medical practice guidelines.</w:t>
      </w:r>
    </w:p>
    <w:bookmarkEnd w:id="21"/>
    <w:bookmarkStart w:id="22" w:name="Xafb1079c5561ded3a2657d28efff51108320eac"/>
    <w:p>
      <w:pPr>
        <w:pStyle w:val="Heading2"/>
      </w:pPr>
      <w:r>
        <w:t xml:space="preserve">III. Sales Performance: Key Achievements in Japan Osaka</w:t>
      </w:r>
    </w:p>
    <w:p>
      <w:pPr>
        <w:pStyle w:val="FirstParagraph"/>
      </w:pPr>
      <w:r>
        <w:t xml:space="preserve">Our Q3 2023 sales pipeline focused exclusively on Osaka, yielding exceptional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Target Client Type</w:t>
            </w:r>
          </w:p>
        </w:tc>
        <w:tc>
          <w:tcPr/>
          <w:p>
            <w:pPr>
              <w:pStyle w:val="Compact"/>
              <w:jc w:val="left"/>
            </w:pPr>
            <w:r>
              <w:t xml:space="preserve">New Contracts Secured</w:t>
            </w:r>
          </w:p>
        </w:tc>
        <w:tc>
          <w:tcPr/>
          <w:p>
            <w:pPr>
              <w:pStyle w:val="Compact"/>
              <w:jc w:val="left"/>
            </w:pPr>
            <w:r>
              <w:t xml:space="preserve">Service Value (JPY)</w:t>
            </w:r>
          </w:p>
        </w:tc>
        <w:tc>
          <w:tcPr/>
          <w:p>
            <w:pPr>
              <w:pStyle w:val="Compact"/>
              <w:jc w:val="left"/>
            </w:pPr>
            <w:r>
              <w:t xml:space="preserve">Key Differentiator in Osaka Context</w:t>
            </w:r>
          </w:p>
        </w:tc>
      </w:tr>
      <w:tr>
        <w:tc>
          <w:tcPr/>
          <w:p>
            <w:pPr>
              <w:pStyle w:val="Compact"/>
              <w:jc w:val="left"/>
            </w:pPr>
            <w:r>
              <w:t xml:space="preserve">Premium Private Clinics (Dotonbori, Namba)</w:t>
            </w:r>
          </w:p>
        </w:tc>
        <w:tc>
          <w:tcPr/>
          <w:p>
            <w:pPr>
              <w:pStyle w:val="Compact"/>
              <w:jc w:val="left"/>
            </w:pPr>
            <w:r>
              <w:t xml:space="preserve">7</w:t>
            </w:r>
          </w:p>
        </w:tc>
        <w:tc>
          <w:tcPr/>
          <w:p>
            <w:pPr>
              <w:pStyle w:val="Compact"/>
              <w:jc w:val="left"/>
            </w:pPr>
            <w:r>
              <w:t xml:space="preserve">18.3M</w:t>
            </w:r>
          </w:p>
        </w:tc>
        <w:tc>
          <w:tcPr/>
          <w:p>
            <w:pPr>
              <w:pStyle w:val="Compact"/>
              <w:jc w:val="left"/>
            </w:pPr>
            <w:r>
              <w:t xml:space="preserve">Tailored GP profiles fluent in Kansai dialect for patient rapport</w:t>
            </w:r>
          </w:p>
        </w:tc>
      </w:tr>
      <w:tr>
        <w:tc>
          <w:tcPr/>
          <w:p>
            <w:pPr>
              <w:pStyle w:val="Compact"/>
              <w:jc w:val="left"/>
            </w:pPr>
            <w:r>
              <w:t xml:space="preserve">Community Health Centers (Osaka City Network)</w:t>
            </w:r>
          </w:p>
        </w:tc>
        <w:tc>
          <w:tcPr>
            <w:gridSpan w:val="2"/>
          </w:tcPr>
          <w:p>
            <w:pPr>
              <w:pStyle w:val="Compact"/>
              <w:jc w:val="left"/>
            </w:pPr>
            <w:r>
              <w:t xml:space="preserve">5 Contracts | 27.6M JPY Total</w:t>
            </w:r>
          </w:p>
        </w:tc>
        <w:tc>
          <w:tcPr/>
          <w:p>
            <w:pPr>
              <w:pStyle w:val="Compact"/>
              <w:jc w:val="left"/>
            </w:pPr>
            <w:r>
              <w:t xml:space="preserve">Compliance with Osaka's "Kokyo-kaigo" elderly care protocols</w:t>
            </w:r>
          </w:p>
        </w:tc>
      </w:tr>
      <w:tr>
        <w:tc>
          <w:tcPr/>
          <w:p>
            <w:pPr>
              <w:pStyle w:val="Compact"/>
              <w:jc w:val="left"/>
            </w:pPr>
            <w:r>
              <w:t xml:space="preserve">Corporate Wellness Providers (For Osaka-based Multinationals)</w:t>
            </w:r>
          </w:p>
        </w:tc>
        <w:tc>
          <w:tcPr/>
          <w:p>
            <w:pPr>
              <w:pStyle w:val="Compact"/>
              <w:jc w:val="left"/>
            </w:pPr>
            <w:r>
              <w:t xml:space="preserve">2</w:t>
            </w:r>
          </w:p>
        </w:tc>
        <w:tc>
          <w:tcPr/>
          <w:p>
            <w:pPr>
              <w:pStyle w:val="Compact"/>
              <w:jc w:val="left"/>
            </w:pPr>
            <w:r>
              <w:t xml:space="preserve">9.1M</w:t>
            </w:r>
          </w:p>
        </w:tc>
        <w:tc>
          <w:tcPr/>
          <w:p>
            <w:pPr>
              <w:pStyle w:val="Compact"/>
              <w:jc w:val="left"/>
            </w:pPr>
            <w:r>
              <w:t xml:space="preserve">GPs certified in Japanese corporate health management standards</w:t>
            </w:r>
          </w:p>
        </w:tc>
      </w:tr>
    </w:tbl>
    <w:p>
      <w:pPr>
        <w:pStyle w:val="BodyText"/>
      </w:pPr>
      <w:r>
        <w:rPr>
          <w:iCs/>
          <w:i/>
        </w:rPr>
        <w:t xml:space="preserve">Total New Revenue Generated: 55.0 Million JPY | 37% YoY Growth vs Q3 2022</w:t>
      </w:r>
    </w:p>
    <w:bookmarkEnd w:id="22"/>
    <w:bookmarkStart w:id="23" w:name="X5d3ffebb6b52188c13bae9caec3fc7502d8ba56"/>
    <w:p>
      <w:pPr>
        <w:pStyle w:val="Heading2"/>
      </w:pPr>
      <w:r>
        <w:t xml:space="preserve">IV. Strategic Sales Approach for Osaka's Healthcare Ecosystem</w:t>
      </w:r>
    </w:p>
    <w:p>
      <w:pPr>
        <w:pStyle w:val="FirstParagraph"/>
      </w:pPr>
      <w:r>
        <w:t xml:space="preserve">We developed a culturally nuanced sales methodology specifically for Japan Osaka, moving beyond generic medical recruitment:</w:t>
      </w:r>
    </w:p>
    <w:p>
      <w:pPr>
        <w:numPr>
          <w:ilvl w:val="0"/>
          <w:numId w:val="1002"/>
        </w:numPr>
        <w:pStyle w:val="Compact"/>
      </w:pPr>
      <w:r>
        <w:rPr>
          <w:bCs/>
          <w:b/>
        </w:rPr>
        <w:t xml:space="preserve">Localized Partnership Building:</w:t>
      </w:r>
      <w:r>
        <w:t xml:space="preserve"> </w:t>
      </w:r>
      <w:r>
        <w:t xml:space="preserve">Instead of cold outreach, we co-hosted three "Primary Care Innovation Roundtables" with Osaka Medical Association (OMA) at the prestigious Nakanoshima Convention Center. This established credibility and directly addressed OMA's priority: reducing GP vacancy rates below 20% by 2025.</w:t>
      </w:r>
    </w:p>
    <w:p>
      <w:pPr>
        <w:numPr>
          <w:ilvl w:val="0"/>
          <w:numId w:val="1002"/>
        </w:numPr>
        <w:pStyle w:val="Compact"/>
      </w:pPr>
      <w:r>
        <w:rPr>
          <w:bCs/>
          <w:b/>
        </w:rPr>
        <w:t xml:space="preserve">Clinic-Specific Value Proposition:</w:t>
      </w:r>
      <w:r>
        <w:t xml:space="preserve"> </w:t>
      </w:r>
      <w:r>
        <w:t xml:space="preserve">For Osaka-based facilities, we emphasize how our Doctor General Practitioner placements reduce patient no-show rates by 31% (per pilot data with Kansai University Hospital), critical in a city where punctuality ("on time" culture) is paramount.</w:t>
      </w:r>
    </w:p>
    <w:p>
      <w:pPr>
        <w:numPr>
          <w:ilvl w:val="0"/>
          <w:numId w:val="1002"/>
        </w:numPr>
        <w:pStyle w:val="Compact"/>
      </w:pPr>
      <w:r>
        <w:rPr>
          <w:bCs/>
          <w:b/>
        </w:rPr>
        <w:t xml:space="preserve">Regulatory Precision:</w:t>
      </w:r>
      <w:r>
        <w:t xml:space="preserve"> </w:t>
      </w:r>
      <w:r>
        <w:t xml:space="preserve">Our sales team includes licensed Japanese medical compliance officers who verify every GP's Osaka Prefecture license status during client onboarding—eliminating legal risks that deter 68% of international vendors (per 2023 Osaka Healthcare Survey).</w:t>
      </w:r>
    </w:p>
    <w:bookmarkEnd w:id="23"/>
    <w:bookmarkStart w:id="24" w:name="v.-challenges-adaptive-strategies"/>
    <w:p>
      <w:pPr>
        <w:pStyle w:val="Heading2"/>
      </w:pPr>
      <w:r>
        <w:t xml:space="preserve">V. Challenges &amp; Adaptive Strategies</w:t>
      </w:r>
    </w:p>
    <w:p>
      <w:pPr>
        <w:pStyle w:val="FirstParagraph"/>
      </w:pPr>
      <w:r>
        <w:t xml:space="preserve">Two significant barriers required tailored solutions in Japan Osaka:</w:t>
      </w:r>
    </w:p>
    <w:p>
      <w:pPr>
        <w:numPr>
          <w:ilvl w:val="0"/>
          <w:numId w:val="1003"/>
        </w:numPr>
        <w:pStyle w:val="Compact"/>
      </w:pPr>
      <w:r>
        <w:rPr>
          <w:bCs/>
          <w:b/>
        </w:rPr>
        <w:t xml:space="preserve">Language Barrier:</w:t>
      </w:r>
      <w:r>
        <w:t xml:space="preserve"> </w:t>
      </w:r>
      <w:r>
        <w:t xml:space="preserve">Initial sales pitches by English-speaking staff were ineffective. Solution: We now deploy bilingual (Japanese-English) sales consultants with medical degrees—doubling conversion rates from 18% to 36%.</w:t>
      </w:r>
    </w:p>
    <w:p>
      <w:pPr>
        <w:numPr>
          <w:ilvl w:val="0"/>
          <w:numId w:val="1003"/>
        </w:numPr>
        <w:pStyle w:val="Compact"/>
      </w:pPr>
      <w:r>
        <w:rPr>
          <w:bCs/>
          <w:b/>
        </w:rPr>
        <w:t xml:space="preserve">Clinic Workflow Integration:</w:t>
      </w:r>
      <w:r>
        <w:t xml:space="preserve"> </w:t>
      </w:r>
      <w:r>
        <w:t xml:space="preserve">Osaka clinics operate under strict "jikken-shiki" (trial system) for new staff. Solution: We offer free 2-week GP trial placements with full administrative support—resulting in 94% of trials converting to full contracts.</w:t>
      </w:r>
    </w:p>
    <w:bookmarkEnd w:id="24"/>
    <w:bookmarkStart w:id="25" w:name="vi.-future-sales-targets-osaka-focus"/>
    <w:p>
      <w:pPr>
        <w:pStyle w:val="Heading2"/>
      </w:pPr>
      <w:r>
        <w:t xml:space="preserve">VI. Future Sales Targets: Osaka Focus</w:t>
      </w:r>
    </w:p>
    <w:p>
      <w:pPr>
        <w:pStyle w:val="FirstParagraph"/>
      </w:pPr>
      <w:r>
        <w:t xml:space="preserve">Based on Q3 results and Osaka's healthcare expansion plans, we project:</w:t>
      </w:r>
    </w:p>
    <w:p>
      <w:pPr>
        <w:numPr>
          <w:ilvl w:val="0"/>
          <w:numId w:val="1004"/>
        </w:numPr>
        <w:pStyle w:val="Compact"/>
      </w:pPr>
      <w:r>
        <w:rPr>
          <w:bCs/>
          <w:b/>
        </w:rPr>
        <w:t xml:space="preserve">Q4 2023 Goal:</w:t>
      </w:r>
      <w:r>
        <w:t xml:space="preserve"> </w:t>
      </w:r>
      <w:r>
        <w:t xml:space="preserve">Secure 18 new contracts across Osaka, targeting the rapidly growing medical tourism sector (especially in Minami-ku ward) where Doctor General Practitioners serve international patients.</w:t>
      </w:r>
    </w:p>
    <w:p>
      <w:pPr>
        <w:numPr>
          <w:ilvl w:val="0"/>
          <w:numId w:val="1004"/>
        </w:numPr>
        <w:pStyle w:val="Compact"/>
      </w:pPr>
      <w:r>
        <w:rPr>
          <w:bCs/>
          <w:b/>
        </w:rPr>
        <w:t xml:space="preserve">Year-End Projection:</w:t>
      </w:r>
      <w:r>
        <w:t xml:space="preserve"> </w:t>
      </w:r>
      <w:r>
        <w:t xml:space="preserve">Capture 15% of Osaka's GP recruitment market ($92M JPY total addressable market), up from 7.2% in Q3 2023.</w:t>
      </w:r>
    </w:p>
    <w:p>
      <w:pPr>
        <w:numPr>
          <w:ilvl w:val="0"/>
          <w:numId w:val="1004"/>
        </w:numPr>
        <w:pStyle w:val="Compact"/>
      </w:pPr>
      <w:r>
        <w:rPr>
          <w:bCs/>
          <w:b/>
        </w:rPr>
        <w:t xml:space="preserve">Sustainable Growth Strategy:</w:t>
      </w:r>
      <w:r>
        <w:t xml:space="preserve"> </w:t>
      </w:r>
      <w:r>
        <w:t xml:space="preserve">Partner with Osaka University School of Medicine to create a "GP Accelerator Program" for local talent, addressing the root cause of shortages while generating exclusive placement opportunities.</w:t>
      </w:r>
    </w:p>
    <w:bookmarkEnd w:id="25"/>
    <w:bookmarkStart w:id="26" w:name="Xd8e9ca306cb2c16a6a02e64da7dd4b7621a76de"/>
    <w:p>
      <w:pPr>
        <w:pStyle w:val="Heading2"/>
      </w:pPr>
      <w:r>
        <w:t xml:space="preserve">VII. Conclusion: The Non-Negotiable Role of Doctor General Practitioners in Osaka</w:t>
      </w:r>
    </w:p>
    <w:p>
      <w:pPr>
        <w:pStyle w:val="FirstParagraph"/>
      </w:pPr>
      <w:r>
        <w:t xml:space="preserve">Japan Osaka's healthcare infrastructure cannot function without highly trained Doctor General Practitioners. This Sales Report demonstrates that our localized, culturally attuned approach to GP recruitment is not merely a business opportunity—it is a strategic imperative for the city's public health resilience. With Osaka preparing for the 2025 World Exposition (Expo 2025), demand for accessible, high-quality primary care will surge. Our sales strategy directly supports this need by connecting facilities with GPs who understand Osaka's unique healthcare rhythm—where every appointment reflects "oshibori" (warm welcome) and "shokunin-ko" (craftsmanship in service).</w:t>
      </w:r>
    </w:p>
    <w:p>
      <w:pPr>
        <w:pStyle w:val="BodyText"/>
      </w:pPr>
      <w:r>
        <w:t xml:space="preserve">As the Japanese healthcare system evolves, the role of the General Practitioner becomes increasingly pivotal. Our sales success in Osaka proves that when medical staffing solutions respect local culture, regulatory nuance, and patient expectations—success is not just possible; it's inevitable. We recommend scaling this model across all Kansai prefectures immediately.</w:t>
      </w:r>
    </w:p>
    <w:p>
      <w:pPr>
        <w:pStyle w:val="BodyText"/>
      </w:pPr>
      <w:r>
        <w:rPr>
          <w:bCs/>
          <w:b/>
        </w:rPr>
        <w:t xml:space="preserve">Prepared By:</w:t>
      </w:r>
      <w:r>
        <w:t xml:space="preserve"> </w:t>
      </w:r>
      <w:r>
        <w:t xml:space="preserve">Hiroshi Tanaka, Regional Sales Director (Southeast Asia Medical Solutions)</w:t>
      </w:r>
      <w:r>
        <w:br/>
      </w:r>
      <w:r>
        <w:rPr>
          <w:bCs/>
          <w:b/>
        </w:rPr>
        <w:t xml:space="preserve">Contact:</w:t>
      </w:r>
      <w:r>
        <w:t xml:space="preserve"> </w:t>
      </w:r>
      <w:r>
        <w:t xml:space="preserve">h.tanaka@sm-solutions.jp | +81 6-6254-0077</w:t>
      </w:r>
      <w:r>
        <w:br/>
      </w:r>
      <w:r>
        <w:rPr>
          <w:iCs/>
          <w:i/>
        </w:rPr>
        <w:t xml:space="preserve">This report complies with Japan's Act on the Protection of Personal Information (APPI) and Osaka Prefecture Medical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Sales Report | Osaka Market Analysis</dc:title>
  <dc:creator/>
  <dc:language>en</dc:language>
  <cp:keywords/>
  <dcterms:created xsi:type="dcterms:W3CDTF">2026-07-21T07:25:17Z</dcterms:created>
  <dcterms:modified xsi:type="dcterms:W3CDTF">2026-07-21T07:25:17Z</dcterms:modified>
</cp:coreProperties>
</file>

<file path=docProps/custom.xml><?xml version="1.0" encoding="utf-8"?>
<Properties xmlns="http://schemas.openxmlformats.org/officeDocument/2006/custom-properties" xmlns:vt="http://schemas.openxmlformats.org/officeDocument/2006/docPropsVTypes"/>
</file>