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Tokyo</w:t>
      </w:r>
      <w:r>
        <w:t xml:space="preserve"> </w:t>
      </w:r>
      <w:r>
        <w:t xml:space="preserve">Market</w:t>
      </w:r>
    </w:p>
    <w:bookmarkStart w:id="27" w:name="X777621ea26f01b3621cabeddc3edfd7b54d992c"/>
    <w:p>
      <w:pPr>
        <w:pStyle w:val="Heading1"/>
      </w:pPr>
      <w:r>
        <w:t xml:space="preserve">Sales Report: General Practitioner (GP) Service Expansion Strategy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strategic sales performance and market positioning of General Practitioner (GP) services within Tokyo, Japan. As Japan's healthcare landscape evolves to address a rapidly aging population and increasing demand for accessible primary care, our GP service offering has emerged as a critical growth vector. The Tokyo market—home to 14 million residents with unique demographic pressures—has demonstrated exceptional traction, with a 28% month-over-month increase in patient acquisition through our localized sales initiatives. This Sales Report confirms the viability of scaling GP services across Tokyo while highlighting key cultural and operational considerations essential for sustainable growth.</w:t>
      </w:r>
    </w:p>
    <w:bookmarkEnd w:id="20"/>
    <w:bookmarkStart w:id="21" w:name="Xc1de2fd5caabb463fb86d0890d7623f132e80d3"/>
    <w:p>
      <w:pPr>
        <w:pStyle w:val="Heading2"/>
      </w:pPr>
      <w:r>
        <w:t xml:space="preserve">II. Market Context: Japan Tokyo's Healthcare Imperative</w:t>
      </w:r>
    </w:p>
    <w:p>
      <w:pPr>
        <w:pStyle w:val="FirstParagraph"/>
      </w:pPr>
      <w:r>
        <w:t xml:space="preserve">Japan faces a profound demographic shift, with 29% of its population aged 65+ (Statistics Bureau of Japan, 2023). Tokyo, as the nation's epicenter of healthcare infrastructure and economic activity, confronts this challenge uniquely. Despite having the highest density of medical facilities in Japan (143 hospitals per million residents), access to timely General Practitioner consultations remains strained due to physician shortages and patient preference for specialized care. The Japanese government’s "Healthcare 2025" initiative prioritizes strengthening primary care networks, directly aligning with our GP service model. In Tokyo specifically, demand has surged by 37% in the past year for walk-in clinics offering same-day appointments—a gap our service aggressively targets.</w:t>
      </w:r>
    </w:p>
    <w:bookmarkEnd w:id="21"/>
    <w:bookmarkStart w:id="22" w:name="X09621b1c8fefcbbccd020c4179dabfdf862c496"/>
    <w:p>
      <w:pPr>
        <w:pStyle w:val="Heading2"/>
      </w:pPr>
      <w:r>
        <w:t xml:space="preserve">III. Sales Performance: General Practitioner Service Metrics (Tokyo Focus)</w:t>
      </w:r>
    </w:p>
    <w:p>
      <w:pPr>
        <w:pStyle w:val="FirstParagraph"/>
      </w:pPr>
      <w:r>
        <w:rPr>
          <w:iCs/>
          <w:i/>
        </w:rPr>
        <w:t xml:space="preserve">Key Achievement:</w:t>
      </w:r>
      <w:r>
        <w:t xml:space="preserve"> </w:t>
      </w:r>
      <w:r>
        <w:t xml:space="preserve">14,850 new patient consultations facilitated across Tokyo-based GP partnerships during Q3 2023, exceeding target by 18%. This represents a 65% YoY increase in service utilization.</w:t>
      </w:r>
    </w:p>
    <w:p>
      <w:pPr>
        <w:numPr>
          <w:ilvl w:val="0"/>
          <w:numId w:val="1001"/>
        </w:numPr>
        <w:pStyle w:val="Compact"/>
      </w:pPr>
      <w:r>
        <w:rPr>
          <w:bCs/>
          <w:b/>
        </w:rPr>
        <w:t xml:space="preserve">Patient Acquisition Cost (PAC):</w:t>
      </w:r>
      <w:r>
        <w:t xml:space="preserve"> </w:t>
      </w:r>
      <w:r>
        <w:t xml:space="preserve">Reduced to ¥5,200 per new patient (vs. industry average of ¥7,800) through localized digital campaigns targeting Tokyo’s corporate wellness programs and senior communities.</w:t>
      </w:r>
    </w:p>
    <w:p>
      <w:pPr>
        <w:numPr>
          <w:ilvl w:val="0"/>
          <w:numId w:val="1001"/>
        </w:numPr>
        <w:pStyle w:val="Compact"/>
      </w:pPr>
      <w:r>
        <w:rPr>
          <w:bCs/>
          <w:b/>
        </w:rPr>
        <w:t xml:space="preserve">Retention Rate:</w:t>
      </w:r>
      <w:r>
        <w:t xml:space="preserve"> </w:t>
      </w:r>
      <w:r>
        <w:t xml:space="preserve">82% of patients return for follow-up consultations within 3 months—surpassing the Tokyo GP sector average of 69%.</w:t>
      </w:r>
    </w:p>
    <w:p>
      <w:pPr>
        <w:numPr>
          <w:ilvl w:val="0"/>
          <w:numId w:val="1001"/>
        </w:numPr>
        <w:pStyle w:val="Compact"/>
      </w:pPr>
      <w:r>
        <w:rPr>
          <w:bCs/>
          <w:b/>
        </w:rPr>
        <w:t xml:space="preserve">Key Sales Channel Growth:</w:t>
      </w:r>
    </w:p>
    <w:p>
      <w:pPr>
        <w:numPr>
          <w:ilvl w:val="1"/>
          <w:numId w:val="1002"/>
        </w:numPr>
        <w:pStyle w:val="Compact"/>
      </w:pPr>
      <w:r>
        <w:t xml:space="preserve">Corporate Partnerships (B2B): +41% (notable growth with major Tokyo-based employers like Sony and Mitsubishi Electric)</w:t>
      </w:r>
    </w:p>
    <w:p>
      <w:pPr>
        <w:numPr>
          <w:ilvl w:val="1"/>
          <w:numId w:val="1002"/>
        </w:numPr>
        <w:pStyle w:val="Compact"/>
      </w:pPr>
      <w:r>
        <w:t xml:space="preserve">Digital Health Platforms: +28% via integration with Japan’s leading telehealth app, "Mynavi Health"</w:t>
      </w:r>
    </w:p>
    <w:p>
      <w:pPr>
        <w:numPr>
          <w:ilvl w:val="1"/>
          <w:numId w:val="1002"/>
        </w:numPr>
        <w:pStyle w:val="Compact"/>
      </w:pPr>
      <w:r>
        <w:t xml:space="preserve">Direct Patient Referrals: 39% of new clients (leveraging Tokyo’s strong neighborhood trust networks)</w:t>
      </w:r>
    </w:p>
    <w:bookmarkEnd w:id="22"/>
    <w:bookmarkStart w:id="23" w:name="Xccfd36166aa0b0cede527fdeeeca4ce789c62b1"/>
    <w:p>
      <w:pPr>
        <w:pStyle w:val="Heading2"/>
      </w:pPr>
      <w:r>
        <w:t xml:space="preserve">IV. Cultural &amp; Operational Adaptation in Japan Tokyo</w:t>
      </w:r>
    </w:p>
    <w:p>
      <w:pPr>
        <w:pStyle w:val="FirstParagraph"/>
      </w:pPr>
      <w:r>
        <w:t xml:space="preserve">Sales success in the Tokyo GP market hinges on deep cultural integration. Our Sales Report identifies three non-negotiable adaptations:</w:t>
      </w:r>
    </w:p>
    <w:p>
      <w:pPr>
        <w:numPr>
          <w:ilvl w:val="0"/>
          <w:numId w:val="1003"/>
        </w:numPr>
        <w:pStyle w:val="Compact"/>
      </w:pPr>
      <w:r>
        <w:rPr>
          <w:bCs/>
          <w:b/>
        </w:rPr>
        <w:t xml:space="preserve">Language &amp; Communication Protocols:</w:t>
      </w:r>
      <w:r>
        <w:t xml:space="preserve"> </w:t>
      </w:r>
      <w:r>
        <w:t xml:space="preserve">All GP consultations now include certified Japanese-speaking medical staff for patient interaction, reducing communication barriers. This adaptation directly contributed to a 22% higher satisfaction score (8.7/10) in Tokyo surveys versus non-optimized clinics.</w:t>
      </w:r>
    </w:p>
    <w:p>
      <w:pPr>
        <w:numPr>
          <w:ilvl w:val="0"/>
          <w:numId w:val="1003"/>
        </w:numPr>
        <w:pStyle w:val="Compact"/>
      </w:pPr>
      <w:r>
        <w:rPr>
          <w:bCs/>
          <w:b/>
        </w:rPr>
        <w:t xml:space="preserve">Insurance Integration:</w:t>
      </w:r>
      <w:r>
        <w:t xml:space="preserve"> </w:t>
      </w:r>
      <w:r>
        <w:t xml:space="preserve">Seamless alignment with Japan’s National Health Insurance (NHI) system is critical. Our Tokyo sales team now provides on-site NHI enrollment support at all partner clinics, eliminating a major patient barrier identified in 68% of pre-sale consultations.</w:t>
      </w:r>
    </w:p>
    <w:p>
      <w:pPr>
        <w:numPr>
          <w:ilvl w:val="0"/>
          <w:numId w:val="1003"/>
        </w:numPr>
        <w:pStyle w:val="Compact"/>
      </w:pPr>
      <w:r>
        <w:rPr>
          <w:bCs/>
          <w:b/>
        </w:rPr>
        <w:t xml:space="preserve">Clinic Ambiance &amp; Privacy Standards:</w:t>
      </w:r>
      <w:r>
        <w:t xml:space="preserve"> </w:t>
      </w:r>
      <w:r>
        <w:t xml:space="preserve">Tokyo patients prioritize discretion and cleanliness. Sales initiatives mandated clinic design updates (private consultation rooms, enhanced sterilization protocols), correlating with a 31% increase in premium service uptake (¥9,500/session).</w:t>
      </w:r>
    </w:p>
    <w:bookmarkEnd w:id="23"/>
    <w:bookmarkStart w:id="24" w:name="X5bfbb3908bb95591e79d4a7d24e97c936ab7946"/>
    <w:p>
      <w:pPr>
        <w:pStyle w:val="Heading2"/>
      </w:pPr>
      <w:r>
        <w:t xml:space="preserve">V. Challenges &amp; Strategic Response: Japan Tokyo Market Dynamics</w:t>
      </w:r>
    </w:p>
    <w:p>
      <w:pPr>
        <w:pStyle w:val="FirstParagraph"/>
      </w:pPr>
      <w:r>
        <w:t xml:space="preserve">Despite strong growth, two challenges required immediate sales strategy adjustments:</w:t>
      </w:r>
    </w:p>
    <w:p>
      <w:pPr>
        <w:numPr>
          <w:ilvl w:val="0"/>
          <w:numId w:val="1004"/>
        </w:numPr>
        <w:pStyle w:val="Compact"/>
      </w:pPr>
      <w:r>
        <w:rPr>
          <w:bCs/>
          <w:b/>
        </w:rPr>
        <w:t xml:space="preserve">Physician Shortage Constraint:</w:t>
      </w:r>
      <w:r>
        <w:t xml:space="preserve"> </w:t>
      </w:r>
      <w:r>
        <w:t xml:space="preserve">Tokyo’s GP vacancy rate stands at 12% (Ministry of Health, Labour and Welfare). Our response: Partnered with Tokyo University of Medicine to develop a "GP Accelerator Program," placing new graduates in our clinics. This reduced average patient wait times by 37% and became a key sales differentiator.</w:t>
      </w:r>
    </w:p>
    <w:p>
      <w:pPr>
        <w:numPr>
          <w:ilvl w:val="0"/>
          <w:numId w:val="1004"/>
        </w:numPr>
        <w:pStyle w:val="Compact"/>
      </w:pPr>
      <w:r>
        <w:rPr>
          <w:bCs/>
          <w:b/>
        </w:rPr>
        <w:t xml:space="preserve">Competition from Hospital-Based GPs:</w:t>
      </w:r>
      <w:r>
        <w:t xml:space="preserve"> </w:t>
      </w:r>
      <w:r>
        <w:t xml:space="preserve">Large Tokyo hospitals (e.g., St. Luke’s International) dominate primary care. Sales strategy pivot: Emphasized convenience—24/7 appointment booking via smartphone apps, shorter wait times (&lt;30 mins), and integrated preventive care packages (e.g., "Senior Wellness Checks"). This positioned our service as the agile alternative to hospital queues.</w:t>
      </w:r>
    </w:p>
    <w:bookmarkEnd w:id="24"/>
    <w:bookmarkStart w:id="25" w:name="X4d636c4459443b0648594b05ce267cd77ad494f"/>
    <w:p>
      <w:pPr>
        <w:pStyle w:val="Heading2"/>
      </w:pPr>
      <w:r>
        <w:t xml:space="preserve">VI. Sales Strategy Roadmap for Q4 2023 &amp; Beyond</w:t>
      </w:r>
    </w:p>
    <w:p>
      <w:pPr>
        <w:pStyle w:val="FirstParagraph"/>
      </w:pPr>
      <w:r>
        <w:t xml:space="preserve">Based on this Tokyo-focused Sales Report, we recommend:</w:t>
      </w:r>
    </w:p>
    <w:p>
      <w:pPr>
        <w:numPr>
          <w:ilvl w:val="0"/>
          <w:numId w:val="1005"/>
        </w:numPr>
        <w:pStyle w:val="Compact"/>
      </w:pPr>
      <w:r>
        <w:rPr>
          <w:bCs/>
          <w:b/>
        </w:rPr>
        <w:t xml:space="preserve">Expand to Suburban Tokyo Zones:</w:t>
      </w:r>
      <w:r>
        <w:t xml:space="preserve"> </w:t>
      </w:r>
      <w:r>
        <w:t xml:space="preserve">Target Saitama, Chiba, and Kanagawa with mobile GP units—addressing the 48% of Tokyo residents outside central wards who face travel barriers.</w:t>
      </w:r>
    </w:p>
    <w:p>
      <w:pPr>
        <w:numPr>
          <w:ilvl w:val="0"/>
          <w:numId w:val="1005"/>
        </w:numPr>
        <w:pStyle w:val="Compact"/>
      </w:pPr>
      <w:r>
        <w:rPr>
          <w:bCs/>
          <w:b/>
        </w:rPr>
        <w:t xml:space="preserve">Leverage Government Incentives:</w:t>
      </w:r>
      <w:r>
        <w:t xml:space="preserve"> </w:t>
      </w:r>
      <w:r>
        <w:t xml:space="preserve">Apply for Japan’s "Regional Medical Support Grants" (up to ¥5 million per clinic) to fund digital infrastructure upgrades, a key selling point in B2B pitches.</w:t>
      </w:r>
    </w:p>
    <w:p>
      <w:pPr>
        <w:numPr>
          <w:ilvl w:val="0"/>
          <w:numId w:val="1005"/>
        </w:numPr>
        <w:pStyle w:val="Compact"/>
      </w:pPr>
      <w:r>
        <w:rPr>
          <w:bCs/>
          <w:b/>
        </w:rPr>
        <w:t xml:space="preserve">Develop Multilingual Patient Portals:</w:t>
      </w:r>
      <w:r>
        <w:t xml:space="preserve"> </w:t>
      </w:r>
      <w:r>
        <w:t xml:space="preserve">Introduce English/Chinese interfaces (for Tokyo’s 1.2M foreign residents) via our sales partnership with the Tokyo Foreign Residents’ Center.</w:t>
      </w:r>
    </w:p>
    <w:bookmarkEnd w:id="25"/>
    <w:bookmarkStart w:id="26" w:name="X8912a097e15f79790dd8077a62e0b8505188dcf"/>
    <w:p>
      <w:pPr>
        <w:pStyle w:val="Heading2"/>
      </w:pPr>
      <w:r>
        <w:t xml:space="preserve">VII. Conclusion: The Future of GP Sales in Japan</w:t>
      </w:r>
    </w:p>
    <w:p>
      <w:pPr>
        <w:pStyle w:val="FirstParagraph"/>
      </w:pPr>
      <w:r>
        <w:t xml:space="preserve">This Sales Report conclusively demonstrates that General Practitioner services are not merely a product but a critical solution for Tokyo’s evolving healthcare needs. Our data proves that when sales strategies integrate deeply with Japan’s unique regulatory, cultural, and demographic realities—prioritizing NHI alignment, linguistic precision, and neighborhood trust—we achieve sustainable growth where others falter. As Tokyo continues its transformation toward universal primary care access under national policy shifts, our GP service model is positioned for 50% market share expansion in the metropolitan region by Q2 2024. The Japan Tokyo market demands more than transactions—it requires partners who understand that a General Practitioner is not just a healthcare provider, but the cornerstone of community well-being. Our sales success reflects this understanding.</w:t>
      </w:r>
    </w:p>
    <w:p>
      <w:pPr>
        <w:pStyle w:val="BodyText"/>
      </w:pPr>
      <w:r>
        <w:rPr>
          <w:bCs/>
          <w:b/>
        </w:rPr>
        <w:t xml:space="preserve">Prepared By:</w:t>
      </w:r>
      <w:r>
        <w:t xml:space="preserve"> </w:t>
      </w:r>
      <w:r>
        <w:t xml:space="preserve">Hiroshi Tanaka, Head of Sales Strategy - Japan Market</w:t>
      </w:r>
      <w:r>
        <w:br/>
      </w:r>
      <w:r>
        <w:rPr>
          <w:bCs/>
          <w:b/>
        </w:rPr>
        <w:t xml:space="preserve">Contact:</w:t>
      </w:r>
      <w:r>
        <w:t xml:space="preserve"> </w:t>
      </w:r>
      <w:r>
        <w:t xml:space="preserve">h.tanaka@healthcareglobal.jp | +81 3-5770-XXXX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General Practitioner Services - Tokyo Market</dc:title>
  <dc:creator/>
  <dc:language>en</dc:language>
  <cp:keywords/>
  <dcterms:created xsi:type="dcterms:W3CDTF">2026-07-23T16:27:03Z</dcterms:created>
  <dcterms:modified xsi:type="dcterms:W3CDTF">2026-07-23T16:27:03Z</dcterms:modified>
</cp:coreProperties>
</file>

<file path=docProps/custom.xml><?xml version="1.0" encoding="utf-8"?>
<Properties xmlns="http://schemas.openxmlformats.org/officeDocument/2006/custom-properties" xmlns:vt="http://schemas.openxmlformats.org/officeDocument/2006/docPropsVTypes"/>
</file>