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Almaty</w:t>
      </w:r>
      <w:r>
        <w:t xml:space="preserve"> </w:t>
      </w:r>
      <w:r>
        <w:t xml:space="preserve">General</w:t>
      </w:r>
      <w:r>
        <w:t xml:space="preserve"> </w:t>
      </w:r>
      <w:r>
        <w:t xml:space="preserve">Practitioner</w:t>
      </w:r>
      <w:r>
        <w:t xml:space="preserve"> </w:t>
      </w:r>
      <w:r>
        <w:t xml:space="preserve">Healthcare</w:t>
      </w:r>
      <w:r>
        <w:t xml:space="preserve"> </w:t>
      </w:r>
      <w:r>
        <w:t xml:space="preserve">Services</w:t>
      </w:r>
      <w:r>
        <w:t xml:space="preserve"> </w:t>
      </w:r>
      <w:r>
        <w:t xml:space="preserve">Sales</w:t>
      </w:r>
      <w:r>
        <w:t xml:space="preserve"> </w:t>
      </w:r>
      <w:r>
        <w:t xml:space="preserve">Report</w:t>
      </w:r>
    </w:p>
    <w:bookmarkStart w:id="27" w:name="X8869121e023a7ebbfe625284e404fd4e3937a07"/>
    <w:p>
      <w:pPr>
        <w:pStyle w:val="Heading1"/>
      </w:pPr>
      <w:r>
        <w:t xml:space="preserve">Sales Report: General Practitioner Healthcare Services Market Analysis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Solutions Division</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and strategic outlook for General Practitioner (GP) healthcare service solutions within Kazakhstan's Almaty region. The market continues to demonstrate robust growth driven by increased patient demand, government healthcare reforms, and evolving private sector participation. Key findings indicate a 18% year-over-year increase in service utilization among</w:t>
      </w:r>
      <w:r>
        <w:t xml:space="preserve"> </w:t>
      </w:r>
      <w:r>
        <w:rPr>
          <w:bCs/>
          <w:b/>
        </w:rPr>
        <w:t xml:space="preserve">Doctor General Practitioner</w:t>
      </w:r>
      <w:r>
        <w:t xml:space="preserve"> </w:t>
      </w:r>
      <w:r>
        <w:t xml:space="preserve">networks across</w:t>
      </w:r>
      <w:r>
        <w:t xml:space="preserve"> </w:t>
      </w:r>
      <w:r>
        <w:rPr>
          <w:bCs/>
          <w:b/>
        </w:rPr>
        <w:t xml:space="preserve">Kazakhstan Almaty</w:t>
      </w:r>
      <w:r>
        <w:t xml:space="preserve">, positioning the region as the nation's largest hub for primary care innovation. This report confirms strong revenue potential for scalable GP support solutions, including telemedicine platforms, practice management software, and specialized diagnostic partnerships.</w:t>
      </w:r>
    </w:p>
    <w:bookmarkEnd w:id="20"/>
    <w:bookmarkStart w:id="21" w:name="X7c96853ae1dc0feb73e42f286ff12eb2d006619"/>
    <w:p>
      <w:pPr>
        <w:pStyle w:val="Heading2"/>
      </w:pPr>
      <w:r>
        <w:t xml:space="preserve">II. Market Context: Almaty’s General Practitioner Landscape</w:t>
      </w:r>
    </w:p>
    <w:p>
      <w:pPr>
        <w:pStyle w:val="FirstParagraph"/>
      </w:pPr>
      <w:r>
        <w:rPr>
          <w:bCs/>
          <w:b/>
        </w:rPr>
        <w:t xml:space="preserve">Kazakhstan Almaty</w:t>
      </w:r>
      <w:r>
        <w:t xml:space="preserve">, as the country's economic capital and second-largest city (population ~2 million), faces unique primary care challenges. The government's 2030 Healthcare Strategy prioritizes strengthening outpatient services, directly benefiting GPs. In Almaty alone, over 75% of primary care visits occur at GP clinics—far exceeding national averages. However, critical gaps persist: rural-urban disparities in doctor distribution (only 45% of GPs work in suburbs), chronic staffing shortages (120+ vacant GP positions citywide as of Q3), and limited digital integration. These factors create an urgent market opportunity for solutions tailored to</w:t>
      </w:r>
      <w:r>
        <w:t xml:space="preserve"> </w:t>
      </w:r>
      <w:r>
        <w:rPr>
          <w:bCs/>
          <w:b/>
        </w:rPr>
        <w:t xml:space="preserve">Doctor General Practitioner</w:t>
      </w:r>
      <w:r>
        <w:t xml:space="preserve"> </w:t>
      </w:r>
      <w:r>
        <w:t xml:space="preserve">efficiency and patient access.</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A. Revenue Growth:</w:t>
      </w:r>
      <w:r>
        <w:t xml:space="preserve"> </w:t>
      </w:r>
      <w:r>
        <w:t xml:space="preserve">Total sales of GP-focused healthcare services reached ₸98.7 million (≈$145,000 USD), a 19% increase from Q2 and 27% above Q3 2022. Key drivers were:</w:t>
      </w:r>
    </w:p>
    <w:p>
      <w:pPr>
        <w:numPr>
          <w:ilvl w:val="0"/>
          <w:numId w:val="1001"/>
        </w:numPr>
        <w:pStyle w:val="Compact"/>
      </w:pPr>
      <w:r>
        <w:rPr>
          <w:bCs/>
          <w:b/>
        </w:rPr>
        <w:t xml:space="preserve">Telemedicine Integration:</w:t>
      </w:r>
      <w:r>
        <w:t xml:space="preserve"> </w:t>
      </w:r>
      <w:r>
        <w:t xml:space="preserve">Sold to 42 clinics; contributed ₸38M (38.5%) of revenue.</w:t>
      </w:r>
    </w:p>
    <w:p>
      <w:pPr>
        <w:numPr>
          <w:ilvl w:val="0"/>
          <w:numId w:val="1001"/>
        </w:numPr>
        <w:pStyle w:val="Compact"/>
      </w:pPr>
      <w:r>
        <w:rPr>
          <w:bCs/>
          <w:b/>
        </w:rPr>
        <w:t xml:space="preserve">Practice Management Software:</w:t>
      </w:r>
      <w:r>
        <w:t xml:space="preserve"> </w:t>
      </w:r>
      <w:r>
        <w:t xml:space="preserve">Onboarded 29 new clinics; revenue ₸41.2M (41.7%).</w:t>
      </w:r>
    </w:p>
    <w:p>
      <w:pPr>
        <w:numPr>
          <w:ilvl w:val="0"/>
          <w:numId w:val="1001"/>
        </w:numPr>
        <w:pStyle w:val="Compact"/>
      </w:pPr>
      <w:r>
        <w:rPr>
          <w:bCs/>
          <w:b/>
        </w:rPr>
        <w:t xml:space="preserve">Diagnostic Partnership Packages:</w:t>
      </w:r>
      <w:r>
        <w:t xml:space="preserve"> </w:t>
      </w:r>
      <w:r>
        <w:t xml:space="preserve">Agreements with 17 imaging labs; revenue ₸19.5M (19.8%).</w:t>
      </w:r>
    </w:p>
    <w:p>
      <w:pPr>
        <w:pStyle w:val="FirstParagraph"/>
      </w:pPr>
      <w:r>
        <w:rPr>
          <w:bCs/>
          <w:b/>
        </w:rPr>
        <w:t xml:space="preserve">B. Geographic Focus:</w:t>
      </w:r>
      <w:r>
        <w:t xml:space="preserve"> </w:t>
      </w:r>
      <w:r>
        <w:t xml:space="preserve">68% of sales occurred in Almaty city proper, with the highest growth in suburban districts (Auezov, Medeu) where GP shortages are most acute. Our mobile outreach unit successfully onboarded clinics in Shymkent Road area—a previously underserved region.</w:t>
      </w:r>
    </w:p>
    <w:p>
      <w:pPr>
        <w:pStyle w:val="BodyText"/>
      </w:pPr>
      <w:r>
        <w:rPr>
          <w:bCs/>
          <w:b/>
        </w:rPr>
        <w:t xml:space="preserve">C. Key Client Acquisition:</w:t>
      </w:r>
      <w:r>
        <w:t xml:space="preserve"> </w:t>
      </w:r>
      <w:r>
        <w:t xml:space="preserve">Major wins included:</w:t>
      </w:r>
    </w:p>
    <w:p>
      <w:pPr>
        <w:numPr>
          <w:ilvl w:val="0"/>
          <w:numId w:val="1002"/>
        </w:numPr>
        <w:pStyle w:val="Compact"/>
      </w:pPr>
      <w:r>
        <w:rPr>
          <w:iCs/>
          <w:i/>
        </w:rPr>
        <w:t xml:space="preserve">Almaty City Polyclinic No. 5</w:t>
      </w:r>
      <w:r>
        <w:t xml:space="preserve">: Largest municipal GP network (14 clinics), contracted for full digital transformation suite (₦28M).</w:t>
      </w:r>
    </w:p>
    <w:p>
      <w:pPr>
        <w:numPr>
          <w:ilvl w:val="0"/>
          <w:numId w:val="1002"/>
        </w:numPr>
        <w:pStyle w:val="Compact"/>
      </w:pPr>
      <w:r>
        <w:rPr>
          <w:iCs/>
          <w:i/>
        </w:rPr>
        <w:t xml:space="preserve">Zdorovye.kz Private Network</w:t>
      </w:r>
      <w:r>
        <w:t xml:space="preserve">: 9-clinic private group; adopted telemedicine + EHR system (₦21.5M).</w:t>
      </w:r>
    </w:p>
    <w:p>
      <w:pPr>
        <w:numPr>
          <w:ilvl w:val="0"/>
          <w:numId w:val="1002"/>
        </w:numPr>
        <w:pStyle w:val="Compact"/>
      </w:pPr>
      <w:r>
        <w:rPr>
          <w:iCs/>
          <w:i/>
        </w:rPr>
        <w:t xml:space="preserve">Regional Health Consortium of Kazakhstan</w:t>
      </w:r>
      <w:r>
        <w:t xml:space="preserve">: Pilot program for 30 rural clinics in Almaty region (₦14.8M).</w:t>
      </w:r>
    </w:p>
    <w:bookmarkEnd w:id="22"/>
    <w:bookmarkStart w:id="23" w:name="Xd85ff9fafc9fa5b46e870b4d91f9ae38fa7ee6a"/>
    <w:p>
      <w:pPr>
        <w:pStyle w:val="Heading2"/>
      </w:pPr>
      <w:r>
        <w:t xml:space="preserve">IV. Market Dynamics: Why Almaty’s GPs Are Prioritizing Solutions</w:t>
      </w:r>
    </w:p>
    <w:p>
      <w:pPr>
        <w:pStyle w:val="FirstParagraph"/>
      </w:pPr>
      <w:r>
        <w:rPr>
          <w:bCs/>
          <w:b/>
        </w:rPr>
        <w:t xml:space="preserve">Kazakhstan Almaty</w:t>
      </w:r>
      <w:r>
        <w:t xml:space="preserve">'s GP market is undergoing a structural shift driven by three forces:</w:t>
      </w:r>
    </w:p>
    <w:p>
      <w:pPr>
        <w:numPr>
          <w:ilvl w:val="0"/>
          <w:numId w:val="1003"/>
        </w:numPr>
        <w:pStyle w:val="Compact"/>
      </w:pPr>
      <w:r>
        <w:rPr>
          <w:bCs/>
          <w:b/>
        </w:rPr>
        <w:t xml:space="preserve">Regulatory Pressure:</w:t>
      </w:r>
      <w:r>
        <w:t xml:space="preserve"> </w:t>
      </w:r>
      <w:r>
        <w:t xml:space="preserve">New Kazakh Ministry of Healthcare decree (No. 456, July 2023) mandates digital patient records and telehealth access for all primary care facilities by Q1 2024. GPs are rapidly adopting compliant solutions.</w:t>
      </w:r>
    </w:p>
    <w:p>
      <w:pPr>
        <w:numPr>
          <w:ilvl w:val="0"/>
          <w:numId w:val="1003"/>
        </w:numPr>
        <w:pStyle w:val="Compact"/>
      </w:pPr>
      <w:r>
        <w:rPr>
          <w:bCs/>
          <w:b/>
        </w:rPr>
        <w:t xml:space="preserve">Patient Demand:</w:t>
      </w:r>
      <w:r>
        <w:t xml:space="preserve"> </w:t>
      </w:r>
      <w:r>
        <w:t xml:space="preserve">Almaty residents increasingly seek convenient, integrated care. 76% of surveyed patients (via Almaty Health Survey Q3) prefer clinics offering video consultations and online scheduling—features currently lacking in 58% of GP practices.</w:t>
      </w:r>
    </w:p>
    <w:p>
      <w:pPr>
        <w:numPr>
          <w:ilvl w:val="0"/>
          <w:numId w:val="1003"/>
        </w:numPr>
        <w:pStyle w:val="Compact"/>
      </w:pPr>
      <w:r>
        <w:rPr>
          <w:bCs/>
          <w:b/>
        </w:rPr>
        <w:t xml:space="preserve">Economic Incentives:</w:t>
      </w:r>
      <w:r>
        <w:t xml:space="preserve"> </w:t>
      </w:r>
      <w:r>
        <w:t xml:space="preserve">The Kazakh government offers tax breaks for clinics implementing digital tools. Early adopters report 22% higher patient retention rates and 15% lower administrative costs.</w:t>
      </w:r>
    </w:p>
    <w:bookmarkEnd w:id="23"/>
    <w:bookmarkStart w:id="24" w:name="v.-challenges-strategic-recommendations"/>
    <w:p>
      <w:pPr>
        <w:pStyle w:val="Heading2"/>
      </w:pPr>
      <w:r>
        <w:t xml:space="preserve">V. Challenges &amp; Strategic Recommendations</w:t>
      </w:r>
    </w:p>
    <w:p>
      <w:pPr>
        <w:pStyle w:val="FirstParagraph"/>
      </w:pPr>
      <w:r>
        <w:rPr>
          <w:bCs/>
          <w:b/>
        </w:rPr>
        <w:t xml:space="preserve">Current Hurdles:</w:t>
      </w:r>
    </w:p>
    <w:p>
      <w:pPr>
        <w:numPr>
          <w:ilvl w:val="0"/>
          <w:numId w:val="1004"/>
        </w:numPr>
        <w:pStyle w:val="Compact"/>
      </w:pPr>
      <w:r>
        <w:t xml:space="preserve">Language barriers: Clinics in Almaty’s Russian-speaking suburbs require Kazakh-language software localization (only 30% of solutions currently support this).</w:t>
      </w:r>
    </w:p>
    <w:p>
      <w:pPr>
        <w:numPr>
          <w:ilvl w:val="0"/>
          <w:numId w:val="1004"/>
        </w:numPr>
        <w:pStyle w:val="Compact"/>
      </w:pPr>
      <w:r>
        <w:t xml:space="preserve">Funding gaps: 41% of small clinics lack capital for full digital adoption despite government incentives.</w:t>
      </w:r>
    </w:p>
    <w:p>
      <w:pPr>
        <w:numPr>
          <w:ilvl w:val="0"/>
          <w:numId w:val="1004"/>
        </w:numPr>
        <w:pStyle w:val="Compact"/>
      </w:pPr>
      <w:r>
        <w:t xml:space="preserve">Regulatory complexity: GPs struggle with varying compliance requirements across Almaty's districts.</w:t>
      </w:r>
    </w:p>
    <w:p>
      <w:pPr>
        <w:pStyle w:val="FirstParagraph"/>
      </w:pPr>
      <w:r>
        <w:rPr>
          <w:bCs/>
          <w:b/>
        </w:rPr>
        <w:t xml:space="preserve">Strategic Actions for Q4 2023:</w:t>
      </w:r>
    </w:p>
    <w:p>
      <w:pPr>
        <w:numPr>
          <w:ilvl w:val="0"/>
          <w:numId w:val="1005"/>
        </w:numPr>
        <w:pStyle w:val="Compact"/>
      </w:pPr>
      <w:r>
        <w:rPr>
          <w:iCs/>
          <w:i/>
        </w:rPr>
        <w:t xml:space="preserve">Localized Solutions:</w:t>
      </w:r>
      <w:r>
        <w:t xml:space="preserve"> </w:t>
      </w:r>
      <w:r>
        <w:t xml:space="preserve">Accelerate Kazakh-language UI development for all software. Target 100% localization by December 2023.</w:t>
      </w:r>
    </w:p>
    <w:p>
      <w:pPr>
        <w:numPr>
          <w:ilvl w:val="0"/>
          <w:numId w:val="1005"/>
        </w:numPr>
        <w:pStyle w:val="Compact"/>
      </w:pPr>
      <w:r>
        <w:rPr>
          <w:iCs/>
          <w:i/>
        </w:rPr>
        <w:t xml:space="preserve">Financing Partnerships:</w:t>
      </w:r>
      <w:r>
        <w:t xml:space="preserve"> </w:t>
      </w:r>
      <w:r>
        <w:t xml:space="preserve">Collaborate with Almaty-based banks (e.g., Kaspi.kz) to offer low-interest "GP Tech Loans" covering 50% of solution costs.</w:t>
      </w:r>
    </w:p>
    <w:p>
      <w:pPr>
        <w:numPr>
          <w:ilvl w:val="0"/>
          <w:numId w:val="1005"/>
        </w:numPr>
        <w:pStyle w:val="Compact"/>
      </w:pPr>
      <w:r>
        <w:rPr>
          <w:iCs/>
          <w:i/>
        </w:rPr>
        <w:t xml:space="preserve">Regulatory Workshops:</w:t>
      </w:r>
      <w:r>
        <w:t xml:space="preserve"> </w:t>
      </w:r>
      <w:r>
        <w:t xml:space="preserve">Host free compliance webinars for</w:t>
      </w:r>
      <w:r>
        <w:t xml:space="preserve"> </w:t>
      </w:r>
      <w:r>
        <w:rPr>
          <w:bCs/>
          <w:b/>
        </w:rPr>
        <w:t xml:space="preserve">Doctor General Practitioner</w:t>
      </w:r>
      <w:r>
        <w:t xml:space="preserve">s across Almaty, co-led by Ministry of Health officials.</w:t>
      </w:r>
    </w:p>
    <w:p>
      <w:pPr>
        <w:numPr>
          <w:ilvl w:val="0"/>
          <w:numId w:val="1005"/>
        </w:numPr>
        <w:pStyle w:val="Compact"/>
      </w:pPr>
      <w:r>
        <w:rPr>
          <w:iCs/>
          <w:i/>
        </w:rPr>
        <w:t xml:space="preserve">Rural Expansion:</w:t>
      </w:r>
      <w:r>
        <w:t xml:space="preserve"> </w:t>
      </w:r>
      <w:r>
        <w:t xml:space="preserve">Deploy mobile tech units to 10 new suburban clinics in Q4, focusing on districts with the highest GP vacancy rates (e.g., Kyz-Zhylkai).</w:t>
      </w:r>
    </w:p>
    <w:bookmarkEnd w:id="24"/>
    <w:bookmarkStart w:id="25" w:name="vi.-forecast-q4-2023-beyond"/>
    <w:p>
      <w:pPr>
        <w:pStyle w:val="Heading2"/>
      </w:pPr>
      <w:r>
        <w:t xml:space="preserve">VI. Forecast: Q4 2023 &amp; Beyond</w:t>
      </w:r>
    </w:p>
    <w:p>
      <w:pPr>
        <w:pStyle w:val="FirstParagraph"/>
      </w:pPr>
      <w:r>
        <w:t xml:space="preserve">Based on current momentum, we project:</w:t>
      </w:r>
    </w:p>
    <w:p>
      <w:pPr>
        <w:numPr>
          <w:ilvl w:val="0"/>
          <w:numId w:val="1006"/>
        </w:numPr>
        <w:pStyle w:val="Compact"/>
      </w:pPr>
      <w:r>
        <w:rPr>
          <w:bCs/>
          <w:b/>
        </w:rPr>
        <w:t xml:space="preserve">Revenue:</w:t>
      </w:r>
      <w:r>
        <w:t xml:space="preserve"> </w:t>
      </w:r>
      <w:r>
        <w:t xml:space="preserve">₸115–120 million (≈$169k–$176k USD) for Q4 2023—a 20% quarterly increase.</w:t>
      </w:r>
    </w:p>
    <w:p>
      <w:pPr>
        <w:numPr>
          <w:ilvl w:val="0"/>
          <w:numId w:val="1006"/>
        </w:numPr>
        <w:pStyle w:val="Compact"/>
      </w:pPr>
      <w:r>
        <w:rPr>
          <w:bCs/>
          <w:b/>
        </w:rPr>
        <w:t xml:space="preserve">New Clients:</w:t>
      </w:r>
      <w:r>
        <w:t xml:space="preserve"> </w:t>
      </w:r>
      <w:r>
        <w:t xml:space="preserve">Targeting +35 clinics in Almaty, with focus on municipal networks and mid-sized private groups.</w:t>
      </w:r>
    </w:p>
    <w:p>
      <w:pPr>
        <w:numPr>
          <w:ilvl w:val="0"/>
          <w:numId w:val="1006"/>
        </w:numPr>
        <w:pStyle w:val="Compact"/>
      </w:pPr>
      <w:r>
        <w:rPr>
          <w:bCs/>
          <w:b/>
        </w:rPr>
        <w:t xml:space="preserve">Market Share:</w:t>
      </w:r>
      <w:r>
        <w:t xml:space="preserve"> </w:t>
      </w:r>
      <w:r>
        <w:t xml:space="preserve">Aiming for 18–20% of Almaty’s GP digital solution market by end-2023 (from 14% in Q2).</w:t>
      </w:r>
    </w:p>
    <w:p>
      <w:pPr>
        <w:pStyle w:val="FirstParagraph"/>
      </w:pPr>
      <w:r>
        <w:t xml:space="preserve">The long-term trajectory is exceptionally strong. With Kazakhstan's healthcare spending projected to grow at 8.5% annually through 2027 (World Bank), and Almaty’s GP sector accounting for ~63% of all primary care visits in the country, this market represents a critical growth vector for our organization. Success hinges on addressing</w:t>
      </w:r>
      <w:r>
        <w:t xml:space="preserve"> </w:t>
      </w:r>
      <w:r>
        <w:rPr>
          <w:bCs/>
          <w:b/>
        </w:rPr>
        <w:t xml:space="preserve">Kazakhstan Almaty</w:t>
      </w:r>
      <w:r>
        <w:t xml:space="preserve">'s unique operational realities and directly supporting the mission of each</w:t>
      </w:r>
      <w:r>
        <w:t xml:space="preserve"> </w:t>
      </w:r>
      <w:r>
        <w:rPr>
          <w:bCs/>
          <w:b/>
        </w:rPr>
        <w:t xml:space="preserve">Doctor General Practitioner</w:t>
      </w:r>
      <w:r>
        <w:t xml:space="preserve"> </w:t>
      </w:r>
      <w:r>
        <w:t xml:space="preserve">to deliver accessible, high-quality care.</w:t>
      </w:r>
    </w:p>
    <w:bookmarkEnd w:id="25"/>
    <w:bookmarkStart w:id="26" w:name="vii.-conclusion"/>
    <w:p>
      <w:pPr>
        <w:pStyle w:val="Heading2"/>
      </w:pPr>
      <w:r>
        <w:t xml:space="preserve">VII. Conclusion</w:t>
      </w:r>
    </w:p>
    <w:p>
      <w:pPr>
        <w:pStyle w:val="FirstParagraph"/>
      </w:pPr>
      <w:r>
        <w:t xml:space="preserve">The Sales Report confirms that Almaty’s General Practitioner ecosystem is primed for scalable solution adoption. Our focus on regulatory alignment, cultural relevance (Kazakh language), and financial accessibility has positioned us as the market leader in GP service enablement within</w:t>
      </w:r>
      <w:r>
        <w:t xml:space="preserve"> </w:t>
      </w:r>
      <w:r>
        <w:rPr>
          <w:bCs/>
          <w:b/>
        </w:rPr>
        <w:t xml:space="preserve">Kazakhstan Almaty</w:t>
      </w:r>
      <w:r>
        <w:t xml:space="preserve">. By executing the Q4 recommendations—particularly localized digital tools and targeted financing—we will solidify our position as the indispensable partner for every</w:t>
      </w:r>
      <w:r>
        <w:t xml:space="preserve"> </w:t>
      </w:r>
      <w:r>
        <w:rPr>
          <w:bCs/>
          <w:b/>
        </w:rPr>
        <w:t xml:space="preserve">Doctor General Practitioner</w:t>
      </w:r>
      <w:r>
        <w:t xml:space="preserve"> </w:t>
      </w:r>
      <w:r>
        <w:t xml:space="preserve">navigating Kazakhstan’s evolving healthcare landscape. This is not merely a sales opportunity; it is an investment in improving primary care outcomes for over 2 million Almaty residents.</w:t>
      </w:r>
    </w:p>
    <w:p>
      <w:pPr>
        <w:pStyle w:val="BodyText"/>
      </w:pPr>
      <w:r>
        <w:rPr>
          <w:iCs/>
          <w:i/>
        </w:rPr>
        <w:t xml:space="preserve">Prepared by: Healthcare Solutions Division, Central Asia Operations</w:t>
      </w:r>
      <w:r>
        <w:br/>
      </w:r>
      <w:r>
        <w:rPr>
          <w:iCs/>
          <w:i/>
        </w:rPr>
        <w:t xml:space="preserve">Contact: sales.almaty@healthsolutions.kz | +7 (727) 345-6789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Almaty General Practitioner Healthcare Services Sales Report</dc:title>
  <dc:creator/>
  <dc:language>en</dc:language>
  <cp:keywords/>
  <dcterms:created xsi:type="dcterms:W3CDTF">2026-07-23T11:46:42Z</dcterms:created>
  <dcterms:modified xsi:type="dcterms:W3CDTF">2026-07-23T11:46:42Z</dcterms:modified>
</cp:coreProperties>
</file>

<file path=docProps/custom.xml><?xml version="1.0" encoding="utf-8"?>
<Properties xmlns="http://schemas.openxmlformats.org/officeDocument/2006/custom-properties" xmlns:vt="http://schemas.openxmlformats.org/officeDocument/2006/docPropsVTypes"/>
</file>