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Kenya</w:t>
      </w:r>
      <w:r>
        <w:t xml:space="preserve"> </w:t>
      </w:r>
      <w:r>
        <w:t xml:space="preserve">Nairobi</w:t>
      </w:r>
    </w:p>
    <w:bookmarkStart w:id="20" w:name="Xea73456141813b1f5c9a1b162a3a14717dc4b74"/>
    <w:p>
      <w:pPr>
        <w:pStyle w:val="Heading1"/>
      </w:pPr>
      <w:r>
        <w:t xml:space="preserve">Sales Report - Doctor General Practitioner Practice</w:t>
      </w:r>
    </w:p>
    <w:p>
      <w:pPr>
        <w:pStyle w:val="FirstParagraph"/>
      </w:pPr>
      <w:r>
        <w:t xml:space="preserve">Nairobi, Kenya | Q3 2023 Performance Analysis</w:t>
      </w:r>
    </w:p>
    <w:bookmarkEnd w:id="20"/>
    <w:bookmarkStart w:id="21" w:name="executive-summary"/>
    <w:p>
      <w:pPr>
        <w:pStyle w:val="Heading2"/>
      </w:pPr>
      <w:r>
        <w:t xml:space="preserve">Executive Summary</w:t>
      </w:r>
    </w:p>
    <w:p>
      <w:pPr>
        <w:pStyle w:val="FirstParagraph"/>
      </w:pPr>
      <w:r>
        <w:t xml:space="preserve">This comprehensive Sales Report details the operational and financial performance of our General Practitioner (GP) practice in Nairobi, Kenya. The document provides critical insights into patient acquisition, service utilization, revenue streams, and market positioning for the Doctor General Practitioner services delivered across key neighborhoods including Westlands, Karen, Kibera, and Dagoretti. As Nairobi's healthcare landscape evolves rapidly with increasing urbanization and demand for accessible primary care, this Sales Report serves as our strategic compass for sustainable growth in the Kenyan market.</w:t>
      </w:r>
    </w:p>
    <w:bookmarkEnd w:id="21"/>
    <w:bookmarkStart w:id="22" w:name="performance-overview-q3-2023"/>
    <w:p>
      <w:pPr>
        <w:pStyle w:val="Heading2"/>
      </w:pPr>
      <w:r>
        <w:t xml:space="preserve">Performance Overview: Q3 2023</w:t>
      </w:r>
    </w:p>
    <w:p>
      <w:pPr>
        <w:pStyle w:val="FirstParagraph"/>
      </w:pPr>
      <w:r>
        <w:t xml:space="preserve">The Doctor General Practitioner practice in Nairobi achieved remarkable growth during the third quarter of 2023. Total patient consultations reached 4,850 (a 17% increase from Q2), with revenue rising to KES 18.6 million (up 19% YoY). This significant expansion reflects strong market penetration and patient trust in our Nairobi-based primary care services. The Sales Report confirms that our Doctor General Practitioner model—offering affordable, comprehensive first-contact healthcare—is meeting critical gaps in Kenya's urban healthcare ecosystem.</w:t>
      </w:r>
    </w:p>
    <w:bookmarkEnd w:id="22"/>
    <w:bookmarkStart w:id="23" w:name="geographic-performance-analysis"/>
    <w:p>
      <w:pPr>
        <w:pStyle w:val="Heading2"/>
      </w:pPr>
      <w:r>
        <w:t xml:space="preserve">Geographic Performance Analysis</w:t>
      </w:r>
    </w:p>
    <w:p>
      <w:pPr>
        <w:pStyle w:val="FirstParagraph"/>
      </w:pPr>
      <w:r>
        <w:t xml:space="preserve">Nairobi's diverse demographics have shaped our service distribution strategy. The Sales Report highlights the following key metrics by location:</w:t>
      </w:r>
    </w:p>
    <w:p>
      <w:pPr>
        <w:numPr>
          <w:ilvl w:val="0"/>
          <w:numId w:val="1001"/>
        </w:numPr>
        <w:pStyle w:val="Compact"/>
      </w:pPr>
      <w:r>
        <w:rPr>
          <w:bCs/>
          <w:b/>
        </w:rPr>
        <w:t xml:space="preserve">Westlands &amp; Karen (Affluent Areas):</w:t>
      </w:r>
      <w:r>
        <w:t xml:space="preserve"> </w:t>
      </w:r>
      <w:r>
        <w:t xml:space="preserve">35% of total patients, generating 48% of revenue through premium consultation packages and preventive health screenings. This segment demonstrates strong value perception for our Doctor General Practitioner services.</w:t>
      </w:r>
    </w:p>
    <w:p>
      <w:pPr>
        <w:numPr>
          <w:ilvl w:val="0"/>
          <w:numId w:val="1001"/>
        </w:numPr>
        <w:pStyle w:val="Compact"/>
      </w:pPr>
      <w:r>
        <w:rPr>
          <w:bCs/>
          <w:b/>
        </w:rPr>
        <w:t xml:space="preserve">Kibera &amp; Korogocho (Low-Income Zones):</w:t>
      </w:r>
      <w:r>
        <w:t xml:space="preserve"> </w:t>
      </w:r>
      <w:r>
        <w:t xml:space="preserve">28% patient volume with 22% revenue contribution. Our subsidized sliding-scale pricing model has increased accessibility, proving that quality primary care can thrive in underserved Nairobi communities.</w:t>
      </w:r>
    </w:p>
    <w:p>
      <w:pPr>
        <w:numPr>
          <w:ilvl w:val="0"/>
          <w:numId w:val="1001"/>
        </w:numPr>
        <w:pStyle w:val="Compact"/>
      </w:pPr>
      <w:r>
        <w:rPr>
          <w:bCs/>
          <w:b/>
        </w:rPr>
        <w:t xml:space="preserve">Dagoretti &amp; Ruaka (Middle-Income Growth Areas):</w:t>
      </w:r>
      <w:r>
        <w:t xml:space="preserve"> </w:t>
      </w:r>
      <w:r>
        <w:t xml:space="preserve">37% of patients, driving 30% revenue growth through corporate wellness partnerships and family health packages.</w:t>
      </w:r>
    </w:p>
    <w:p>
      <w:pPr>
        <w:pStyle w:val="FirstParagraph"/>
      </w:pPr>
      <w:r>
        <w:t xml:space="preserve">This geographic diversification—central to our strategy as a Doctor General Practitioner in Kenya Nairobi—has mitigated market saturation risks while maximizing community impact.</w:t>
      </w:r>
    </w:p>
    <w:bookmarkEnd w:id="23"/>
    <w:bookmarkStart w:id="24" w:name="key-revenue-streams-breakdown"/>
    <w:p>
      <w:pPr>
        <w:pStyle w:val="Heading2"/>
      </w:pPr>
      <w:r>
        <w:t xml:space="preserve">Key Revenue Streams Breakdown</w:t>
      </w:r>
    </w:p>
    <w:p>
      <w:pPr>
        <w:pStyle w:val="FirstParagraph"/>
      </w:pPr>
      <w:r>
        <w:t xml:space="preserve">Service Category</w:t>
      </w:r>
    </w:p>
    <w:p>
      <w:pPr>
        <w:pStyle w:val="BodyText"/>
      </w:pPr>
      <w:r>
        <w:t xml:space="preserve">Revenue (KES)</w:t>
      </w:r>
    </w:p>
    <w:p>
      <w:pPr>
        <w:pStyle w:val="BodyText"/>
      </w:pPr>
      <w:r>
        <w:t xml:space="preserve">% of Total</w:t>
      </w:r>
    </w:p>
    <w:p>
      <w:pPr>
        <w:pStyle w:val="BodyText"/>
      </w:pPr>
      <w:r>
        <w:t xml:space="preserve">Growth vs Q2</w:t>
      </w:r>
    </w:p>
    <w:p>
      <w:pPr>
        <w:pStyle w:val="BodyText"/>
      </w:pPr>
      <w:r>
        <w:t xml:space="preserve">Standard Consultations (Doctor General Practitioner)</w:t>
      </w:r>
    </w:p>
    <w:p>
      <w:pPr>
        <w:pStyle w:val="BodyText"/>
      </w:pPr>
      <w:r>
        <w:t xml:space="preserve">9,200,000</w:t>
      </w:r>
    </w:p>
    <w:p>
      <w:pPr>
        <w:pStyle w:val="BodyText"/>
      </w:pPr>
      <w:r>
        <w:t xml:space="preserve">49%</w:t>
      </w:r>
    </w:p>
    <w:p>
      <w:pPr>
        <w:pStyle w:val="BodyText"/>
      </w:pPr>
      <w:r>
        <w:t xml:space="preserve">+15%</w:t>
      </w:r>
    </w:p>
    <w:p>
      <w:pPr>
        <w:pStyle w:val="BodyText"/>
      </w:pPr>
      <w:r>
        <w:t xml:space="preserve">Premium Wellness Packages</w:t>
      </w:r>
    </w:p>
    <w:p>
      <w:pPr>
        <w:pStyle w:val="BodyText"/>
      </w:pPr>
      <w:r>
        <w:t xml:space="preserve">4,750,000</w:t>
      </w:r>
    </w:p>
    <w:p>
      <w:pPr>
        <w:pStyle w:val="BodyText"/>
      </w:pPr>
      <w:r>
        <w:t xml:space="preserve">26%</w:t>
      </w:r>
    </w:p>
    <w:p>
      <w:pPr>
        <w:pStyle w:val="BodyText"/>
      </w:pPr>
      <w:r>
        <w:t xml:space="preserve">+28%</w:t>
      </w:r>
    </w:p>
    <w:p>
      <w:pPr>
        <w:pStyle w:val="BodyText"/>
      </w:pPr>
      <w:r>
        <w:t xml:space="preserve">Laboratory Services (In-House)</w:t>
      </w:r>
    </w:p>
    <w:p>
      <w:pPr>
        <w:pStyle w:val="BodyText"/>
      </w:pPr>
      <w:r>
        <w:t xml:space="preserve">3,100,000</w:t>
      </w:r>
    </w:p>
    <w:p>
      <w:pPr>
        <w:pStyle w:val="BodyText"/>
      </w:pPr>
      <w:r>
        <w:t xml:space="preserve">17%</w:t>
      </w:r>
    </w:p>
    <w:p>
      <w:pPr>
        <w:pStyle w:val="BodyText"/>
      </w:pPr>
      <w:r>
        <w:t xml:space="preserve">+22%</w:t>
      </w:r>
    </w:p>
    <w:p>
      <w:pPr>
        <w:pStyle w:val="BodyText"/>
      </w:pPr>
      <w:r>
        <w:t xml:space="preserve">Patient Education Workshops</w:t>
      </w:r>
    </w:p>
    <w:p>
      <w:pPr>
        <w:pStyle w:val="BodyText"/>
      </w:pPr>
      <w:r>
        <w:t xml:space="preserve">850,000</w:t>
      </w:r>
    </w:p>
    <w:p>
      <w:pPr>
        <w:pStyle w:val="BodyText"/>
      </w:pPr>
      <w:r>
        <w:t xml:space="preserve">4.6%</w:t>
      </w:r>
    </w:p>
    <w:p>
      <w:pPr>
        <w:pStyle w:val="BodyText"/>
      </w:pPr>
      <w:r>
        <w:t xml:space="preserve">+45%</w:t>
      </w:r>
    </w:p>
    <w:p>
      <w:pPr>
        <w:pStyle w:val="BodyText"/>
      </w:pPr>
      <w:r>
        <w:t xml:space="preserve">Total Revenue</w:t>
      </w:r>
    </w:p>
    <w:p>
      <w:pPr>
        <w:pStyle w:val="BodyText"/>
      </w:pPr>
      <w:r>
        <w:rPr>
          <w:bCs/>
          <w:b/>
        </w:rPr>
        <w:t xml:space="preserve">18,600,000</w:t>
      </w:r>
    </w:p>
    <w:p>
      <w:pPr>
        <w:pStyle w:val="BodyText"/>
      </w:pPr>
      <w:r>
        <w:rPr>
          <w:bCs/>
          <w:b/>
        </w:rPr>
        <w:t xml:space="preserve">100%</w:t>
      </w:r>
    </w:p>
    <w:p>
      <w:pPr>
        <w:pStyle w:val="BodyText"/>
      </w:pPr>
      <w:r>
        <w:rPr>
          <w:bCs/>
          <w:b/>
        </w:rPr>
        <w:t xml:space="preserve">+19%</w:t>
      </w:r>
    </w:p>
    <w:bookmarkEnd w:id="24"/>
    <w:bookmarkStart w:id="28" w:name="Xb0d104c282a3557c1608565e034ef5c9df3f699"/>
    <w:p>
      <w:pPr>
        <w:pStyle w:val="Heading2"/>
      </w:pPr>
      <w:r>
        <w:t xml:space="preserve">Market Analysis: Why Nairobi's Doctor General Practitioner Model Succeeds</w:t>
      </w:r>
    </w:p>
    <w:p>
      <w:pPr>
        <w:pStyle w:val="FirstParagraph"/>
      </w:pPr>
      <w:r>
        <w:t xml:space="preserve">The Sales Report identifies three critical success factors for our Doctor General Practitioner practice in Kenya Nairobi:</w:t>
      </w:r>
    </w:p>
    <w:bookmarkStart w:id="25" w:name="addressing-urban-healthcare-gaps"/>
    <w:p>
      <w:pPr>
        <w:pStyle w:val="Heading3"/>
      </w:pPr>
      <w:r>
        <w:t xml:space="preserve">1. Addressing Urban Healthcare Gaps</w:t>
      </w:r>
    </w:p>
    <w:p>
      <w:pPr>
        <w:pStyle w:val="FirstParagraph"/>
      </w:pPr>
      <w:r>
        <w:t xml:space="preserve">Nairobi's population density (over 4.5 million residents) creates overwhelming demand for primary care, yet only 20% of Kenyan urban populations access regular GP services. Our Sales Report confirms that patients in Nairobi increasingly prefer centralized, multi-service Doctor General Practitioner clinics over fragmented hospital visits—reducing travel costs and wait times by 65%.</w:t>
      </w:r>
    </w:p>
    <w:bookmarkEnd w:id="25"/>
    <w:bookmarkStart w:id="26" w:name="X3c23f569dd378a123d312f982fcf0fe13e73a64"/>
    <w:p>
      <w:pPr>
        <w:pStyle w:val="Heading3"/>
      </w:pPr>
      <w:r>
        <w:t xml:space="preserve">2. Strategic Integration with Local Health Systems</w:t>
      </w:r>
    </w:p>
    <w:p>
      <w:pPr>
        <w:pStyle w:val="FirstParagraph"/>
      </w:pPr>
      <w:r>
        <w:t xml:space="preserve">Partnerships with Nairobi County Government health facilities (including Mama Lucy Hospital and Kibera Health Centre) have driven referral traffic. The Sales Report notes a 34% increase in referrals from public clinics, validating our role as a trusted Doctor General Practitioner in Kenya's healthcare network.</w:t>
      </w:r>
    </w:p>
    <w:bookmarkEnd w:id="26"/>
    <w:bookmarkStart w:id="27" w:name="digital-adoption-by-nairobi-patients"/>
    <w:p>
      <w:pPr>
        <w:pStyle w:val="Heading3"/>
      </w:pPr>
      <w:r>
        <w:t xml:space="preserve">3. Digital Adoption by Nairobi Patients</w:t>
      </w:r>
    </w:p>
    <w:p>
      <w:pPr>
        <w:pStyle w:val="FirstParagraph"/>
      </w:pPr>
      <w:r>
        <w:t xml:space="preserve">78% of new patients booked appointments via our mobile app (launched Q1 2023), aligning with Nairobi's high smartphone penetration (85% urban). This digital transformation—central to modern Doctor General Practitioner delivery in Kenya—has reduced no-show rates by 41%.</w:t>
      </w:r>
    </w:p>
    <w:bookmarkEnd w:id="27"/>
    <w:bookmarkEnd w:id="28"/>
    <w:bookmarkStart w:id="29" w:name="X682c5daa383b992b9505c1a01dc35750122740e"/>
    <w:p>
      <w:pPr>
        <w:pStyle w:val="Heading2"/>
      </w:pPr>
      <w:r>
        <w:t xml:space="preserve">Challenges Identified in the Sales Report</w:t>
      </w:r>
    </w:p>
    <w:p>
      <w:pPr>
        <w:pStyle w:val="FirstParagraph"/>
      </w:pPr>
      <w:r>
        <w:t xml:space="preserve">Despite strong growth, the Sales Report highlights three critical challenges requiring immediate attention:</w:t>
      </w:r>
    </w:p>
    <w:p>
      <w:pPr>
        <w:numPr>
          <w:ilvl w:val="0"/>
          <w:numId w:val="1002"/>
        </w:numPr>
        <w:pStyle w:val="Compact"/>
      </w:pPr>
      <w:r>
        <w:rPr>
          <w:bCs/>
          <w:b/>
        </w:rPr>
        <w:t xml:space="preserve">Supply Chain Disruptions:</w:t>
      </w:r>
      <w:r>
        <w:t xml:space="preserve"> </w:t>
      </w:r>
      <w:r>
        <w:t xml:space="preserve">Critical medical supplies (especially diabetes kits and antibiotics) face 15-20% price volatility due to Nairobi port delays. This impacts our cost structure for affordable Doctor General Practitioner services.</w:t>
      </w:r>
    </w:p>
    <w:p>
      <w:pPr>
        <w:numPr>
          <w:ilvl w:val="0"/>
          <w:numId w:val="1002"/>
        </w:numPr>
        <w:pStyle w:val="Compact"/>
      </w:pPr>
      <w:r>
        <w:rPr>
          <w:bCs/>
          <w:b/>
        </w:rPr>
        <w:t xml:space="preserve">Talent Retention:</w:t>
      </w:r>
      <w:r>
        <w:t xml:space="preserve"> </w:t>
      </w:r>
      <w:r>
        <w:t xml:space="preserve">High competition for qualified GPs in Kenya Nairobi has increased staff turnover by 22%. The Sales Report recommends competitive salaries and specialized training to retain talent.</w:t>
      </w:r>
    </w:p>
    <w:p>
      <w:pPr>
        <w:numPr>
          <w:ilvl w:val="0"/>
          <w:numId w:val="1002"/>
        </w:numPr>
        <w:pStyle w:val="Compact"/>
      </w:pPr>
      <w:r>
        <w:rPr>
          <w:bCs/>
          <w:b/>
        </w:rPr>
        <w:t xml:space="preserve">Insurance Penetration:</w:t>
      </w:r>
      <w:r>
        <w:t xml:space="preserve"> </w:t>
      </w:r>
      <w:r>
        <w:t xml:space="preserve">Only 31% of our patients have health insurance (vs. 45% national average), limiting revenue predictability. We must accelerate partnerships with NHIF and private insurers in Nairobi.</w:t>
      </w:r>
    </w:p>
    <w:bookmarkEnd w:id="29"/>
    <w:bookmarkStart w:id="30" w:name="actionable-recommendations"/>
    <w:p>
      <w:pPr>
        <w:pStyle w:val="Heading2"/>
      </w:pPr>
      <w:r>
        <w:t xml:space="preserve">Actionable Recommendations</w:t>
      </w:r>
    </w:p>
    <w:p>
      <w:pPr>
        <w:pStyle w:val="FirstParagraph"/>
      </w:pPr>
      <w:r>
        <w:t xml:space="preserve">Based on this Sales Report, we propose:</w:t>
      </w:r>
    </w:p>
    <w:p>
      <w:pPr>
        <w:numPr>
          <w:ilvl w:val="0"/>
          <w:numId w:val="1003"/>
        </w:numPr>
        <w:pStyle w:val="Compact"/>
      </w:pPr>
      <w:r>
        <w:rPr>
          <w:bCs/>
          <w:b/>
        </w:rPr>
        <w:t xml:space="preserve">Expand Community Outreach:</w:t>
      </w:r>
      <w:r>
        <w:t xml:space="preserve"> </w:t>
      </w:r>
      <w:r>
        <w:t xml:space="preserve">Launch free "Health for All" clinics in Kibera and Mathare (Q4 2023) to build trust and convert low-income patients into regular clients of our Doctor General Practitioner practice.</w:t>
      </w:r>
    </w:p>
    <w:p>
      <w:pPr>
        <w:numPr>
          <w:ilvl w:val="0"/>
          <w:numId w:val="1003"/>
        </w:numPr>
        <w:pStyle w:val="Compact"/>
      </w:pPr>
      <w:r>
        <w:rPr>
          <w:bCs/>
          <w:b/>
        </w:rPr>
        <w:t xml:space="preserve">Negotiate Bulk Supply Contracts:</w:t>
      </w:r>
      <w:r>
        <w:t xml:space="preserve"> </w:t>
      </w:r>
      <w:r>
        <w:t xml:space="preserve">Partner with local distributors (e.g., Sanlam Medical Services) to stabilize medication costs in Kenya Nairobi, preserving our affordable pricing model.</w:t>
      </w:r>
    </w:p>
    <w:p>
      <w:pPr>
        <w:numPr>
          <w:ilvl w:val="0"/>
          <w:numId w:val="1003"/>
        </w:numPr>
        <w:pStyle w:val="Compact"/>
      </w:pPr>
      <w:r>
        <w:rPr>
          <w:bCs/>
          <w:b/>
        </w:rPr>
        <w:t xml:space="preserve">Enhance Digital Onboarding:</w:t>
      </w:r>
      <w:r>
        <w:t xml:space="preserve"> </w:t>
      </w:r>
      <w:r>
        <w:t xml:space="preserve">Integrate USSD banking for payment options targeting non-app users, expanding access across Nairobi's demographic spectrum.</w:t>
      </w:r>
    </w:p>
    <w:p>
      <w:pPr>
        <w:numPr>
          <w:ilvl w:val="0"/>
          <w:numId w:val="1003"/>
        </w:numPr>
        <w:pStyle w:val="Compact"/>
      </w:pPr>
      <w:r>
        <w:rPr>
          <w:bCs/>
          <w:b/>
        </w:rPr>
        <w:t xml:space="preserve">Pursue NHIF Accreditation:</w:t>
      </w:r>
      <w:r>
        <w:t xml:space="preserve"> </w:t>
      </w:r>
      <w:r>
        <w:t xml:space="preserve">Fast-track enrollment in the National Hospital Insurance Fund to capture 200+ new insured patients monthly, directly addressing our insurance penetration gap.</w:t>
      </w:r>
    </w:p>
    <w:bookmarkEnd w:id="30"/>
    <w:bookmarkStart w:id="31" w:name="conclusion"/>
    <w:p>
      <w:pPr>
        <w:pStyle w:val="Heading2"/>
      </w:pPr>
      <w:r>
        <w:t xml:space="preserve">Conclusion</w:t>
      </w:r>
    </w:p>
    <w:p>
      <w:pPr>
        <w:pStyle w:val="FirstParagraph"/>
      </w:pPr>
      <w:r>
        <w:t xml:space="preserve">This Sales Report unequivocally demonstrates that the Doctor General Practitioner model is thriving in Nairobi, Kenya. Our strategic positioning at the intersection of accessibility, affordability, and quality care has positioned us as a market leader in urban primary healthcare. With 4,850+ patients served monthly and revenue growth exceeding national healthcare sector averages by 12%, our Nairobi-based practice validates that patient-centric Doctor General Practitioner services are not just viable—they're essential to Kenya's health future.</w:t>
      </w:r>
    </w:p>
    <w:p>
      <w:pPr>
        <w:pStyle w:val="BodyText"/>
      </w:pPr>
      <w:r>
        <w:t xml:space="preserve">As we enter Q4, our focus remains on scaling the model sustainably while deepening community trust across all Nairobi neighborhoods. This Sales Report is more than a performance review—it's a roadmap for transforming primary care access in Kenya. We remain committed to delivering excellence as Nairobi's most trusted Doctor General Practitioner practice.</w:t>
      </w:r>
    </w:p>
    <w:p>
      <w:pPr>
        <w:pStyle w:val="BodyText"/>
      </w:pPr>
      <w:r>
        <w:t xml:space="preserve">Sales Report Prepared For: Nairobi Healthcare Solutions Ltd | Date: October 26, 2023 | Confidential - For Internal Use Only</w:t>
      </w:r>
    </w:p>
    <w:p>
      <w:pPr>
        <w:pStyle w:val="BodyText"/>
      </w:pPr>
      <w:r>
        <w:t xml:space="preserve">Kenya Nairobi Healthcare Market Analysis &amp; Strategic Planning Department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 Kenya Nairobi</dc:title>
  <dc:creator/>
  <dc:language>en</dc:language>
  <cp:keywords/>
  <dcterms:created xsi:type="dcterms:W3CDTF">2026-07-21T07:55:08Z</dcterms:created>
  <dcterms:modified xsi:type="dcterms:W3CDTF">2026-07-21T07:55:08Z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