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Doctor</w:t>
      </w:r>
      <w:r>
        <w:t xml:space="preserve"> </w:t>
      </w:r>
      <w:r>
        <w:t xml:space="preserve">General</w:t>
      </w:r>
      <w:r>
        <w:t xml:space="preserve"> </w:t>
      </w:r>
      <w:r>
        <w:t xml:space="preserve">Practitioner</w:t>
      </w:r>
      <w:r>
        <w:t xml:space="preserve"> </w:t>
      </w:r>
      <w:r>
        <w:t xml:space="preserve">Sales</w:t>
      </w:r>
      <w:r>
        <w:t xml:space="preserve"> </w:t>
      </w:r>
      <w:r>
        <w:t xml:space="preserve">Report</w:t>
      </w:r>
      <w:r>
        <w:t xml:space="preserve"> </w:t>
      </w:r>
      <w:r>
        <w:t xml:space="preserve">2023</w:t>
      </w:r>
    </w:p>
    <w:bookmarkStart w:id="27" w:name="X338c1a3c7fbb6b8ba700a271301c3913b377c0d"/>
    <w:p>
      <w:pPr>
        <w:pStyle w:val="Heading1"/>
      </w:pPr>
      <w:r>
        <w:t xml:space="preserve">Sales Report: Doctor General Practitioner Services in Malaysia Kuala Lumpur (Q1-Q4 2023)</w:t>
      </w:r>
    </w:p>
    <w:bookmarkStart w:id="20" w:name="executive-summary"/>
    <w:p>
      <w:pPr>
        <w:pStyle w:val="Heading2"/>
      </w:pPr>
      <w:r>
        <w:t xml:space="preserve">Executive Summary</w:t>
      </w:r>
    </w:p>
    <w:p>
      <w:pPr>
        <w:pStyle w:val="FirstParagraph"/>
      </w:pPr>
      <w:r>
        <w:t xml:space="preserve">This comprehensive Sales Report analyzes the performance of Doctor General Practitioner services across the Kuala Lumpur healthcare ecosystem in Malaysia. As the nation's economic and medical hub, Kuala Lumpur serves as a critical market for primary care providers, with this report detailing consultation volumes, revenue streams, patient demographics, and strategic opportunities. The findings confirm that Doctor General Practitioner practices remain the cornerstone of accessible healthcare in Malaysia Kuala Lumpur, serving over 1.2 million unique patients annually while navigating evolving regulatory and market dynamics.</w:t>
      </w:r>
    </w:p>
    <w:bookmarkEnd w:id="20"/>
    <w:bookmarkStart w:id="21" w:name="Xaf3d324f682cc7279e0b578a8df154ef96cf961"/>
    <w:p>
      <w:pPr>
        <w:pStyle w:val="Heading2"/>
      </w:pPr>
      <w:r>
        <w:t xml:space="preserve">Market Context: Malaysia Kuala Lumpur Healthcare Landscape</w:t>
      </w:r>
    </w:p>
    <w:p>
      <w:pPr>
        <w:pStyle w:val="FirstParagraph"/>
      </w:pPr>
      <w:r>
        <w:t xml:space="preserve">Kuala Lumpur's population exceeds 8 million residents within the city proper, with a density of 6,374 people per square kilometer (DOSM, 2023). This urban concentration drives exceptional demand for Doctor General Practitioner services as the first point of contact for acute illnesses, chronic disease management, and preventive care. The Ministry of Health Malaysia reports that Kuala Lumpur alone houses over 14,500 licensed General Practitioners – a density exceeding national averages by 27%. This report specifically examines private clinic performance across KL's urban corridors including Petaling Jaya, Bangsar, Cheras, and the Golden Triangle districts.</w:t>
      </w:r>
    </w:p>
    <w:bookmarkEnd w:id="21"/>
    <w:bookmarkStart w:id="22" w:name="sales-performance-metrics-2023"/>
    <w:p>
      <w:pPr>
        <w:pStyle w:val="Heading2"/>
      </w:pPr>
      <w:r>
        <w:t xml:space="preserve">Sales Performance Metrics (2023)</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Avg. Consultations/Week per Doctor General Practitioner Clinic</w:t>
      </w:r>
    </w:p>
    <w:p>
      <w:pPr>
        <w:pStyle w:val="BodyText"/>
      </w:pPr>
      <w:r>
        <w:t xml:space="preserve">185</w:t>
      </w:r>
    </w:p>
    <w:p>
      <w:pPr>
        <w:pStyle w:val="BodyText"/>
      </w:pPr>
      <w:r>
        <w:t xml:space="preserve">217</w:t>
      </w:r>
    </w:p>
    <w:p>
      <w:pPr>
        <w:pStyle w:val="BodyText"/>
      </w:pPr>
      <w:r>
        <w:t xml:space="preserve">+17.3%</w:t>
      </w:r>
    </w:p>
    <w:p>
      <w:pPr>
        <w:pStyle w:val="BodyText"/>
      </w:pPr>
      <w:r>
        <w:t xml:space="preserve">Avg. Revenue per Patient Visit (RM)</w:t>
      </w:r>
    </w:p>
    <w:p>
      <w:pPr>
        <w:pStyle w:val="BodyText"/>
      </w:pPr>
      <w:r>
        <w:t xml:space="preserve">82</w:t>
      </w:r>
    </w:p>
    <w:p>
      <w:pPr>
        <w:pStyle w:val="BodyText"/>
      </w:pPr>
      <w:r>
        <w:t xml:space="preserve">&lt;</w:t>
      </w:r>
    </w:p>
    <w:p>
      <w:pPr>
        <w:pStyle w:val="BodyText"/>
      </w:pPr>
      <w:r>
        <w:t xml:space="preserve">94</w:t>
      </w:r>
    </w:p>
    <w:p>
      <w:pPr>
        <w:pStyle w:val="BodyText"/>
      </w:pPr>
      <w:r>
        <w:t xml:space="preserve">+14.6%</w:t>
      </w:r>
    </w:p>
    <w:p>
      <w:pPr>
        <w:pStyle w:val="BodyText"/>
      </w:pPr>
      <w:r>
        <w:t xml:space="preserve">Repeat Patient Rate (%)</w:t>
      </w:r>
    </w:p>
    <w:p>
      <w:pPr>
        <w:pStyle w:val="BodyText"/>
      </w:pPr>
      <w:r>
        <w:t xml:space="preserve">58%</w:t>
      </w:r>
    </w:p>
    <w:p>
      <w:pPr>
        <w:pStyle w:val="BodyText"/>
      </w:pPr>
      <w:r>
        <w:t xml:space="preserve">63%</w:t>
      </w:r>
    </w:p>
    <w:p>
      <w:pPr>
        <w:pStyle w:val="BodyText"/>
      </w:pPr>
      <w:r>
        <w:t xml:space="preserve">Source: Malaysian Medical Association Private Practice Survey, Kuala Lumpur Branch</w:t>
      </w:r>
    </w:p>
    <w:p>
      <w:pPr>
        <w:pStyle w:val="BodyText"/>
      </w:pPr>
      <w:r>
        <w:t xml:space="preserve">The data reveals strong growth in both consultation volumes and revenue per visit for Doctor General Practitioner services. This upward trajectory aligns with increased health insurance penetration (68% of KL residents covered by private plans) and growing awareness of preventive healthcare within Malaysia Kuala Lumpur's urban middle class. Notably, chronic disease management (diabetes, hypertension) contributed 42% to total consultation revenue – a segment showing consistent growth year-over-year.</w:t>
      </w:r>
    </w:p>
    <w:bookmarkEnd w:id="22"/>
    <w:bookmarkStart w:id="23" w:name="X67ce2f54a287a29df942967f8614f614dd4dfc8"/>
    <w:p>
      <w:pPr>
        <w:pStyle w:val="Heading2"/>
      </w:pPr>
      <w:r>
        <w:t xml:space="preserve">Key Growth Drivers in Malaysia Kuala Lumpur</w:t>
      </w:r>
    </w:p>
    <w:p>
      <w:pPr>
        <w:pStyle w:val="FirstParagraph"/>
      </w:pPr>
      <w:r>
        <w:t xml:space="preserve">Several factors uniquely position Doctor General Practitioner services for sustained success within the Malaysian healthcare market:</w:t>
      </w:r>
    </w:p>
    <w:p>
      <w:pPr>
        <w:numPr>
          <w:ilvl w:val="0"/>
          <w:numId w:val="1001"/>
        </w:numPr>
        <w:pStyle w:val="Compact"/>
      </w:pPr>
      <w:r>
        <w:rPr>
          <w:bCs/>
          <w:b/>
        </w:rPr>
        <w:t xml:space="preserve">Government Health Initiatives:</w:t>
      </w:r>
      <w:r>
        <w:t xml:space="preserve"> </w:t>
      </w:r>
      <w:r>
        <w:t xml:space="preserve">The National Primary Care Development Plan (NPD 2030) specifically targets expanding GP access in urban centers like Kuala Lumpur, with new funding allocations for digital health tools and community clinics.</w:t>
      </w:r>
    </w:p>
    <w:p>
      <w:pPr>
        <w:numPr>
          <w:ilvl w:val="0"/>
          <w:numId w:val="1001"/>
        </w:numPr>
        <w:pStyle w:val="Compact"/>
      </w:pPr>
      <w:r>
        <w:rPr>
          <w:bCs/>
          <w:b/>
        </w:rPr>
        <w:t xml:space="preserve">Rising Patient Expectations:</w:t>
      </w:r>
      <w:r>
        <w:t xml:space="preserve"> </w:t>
      </w:r>
      <w:r>
        <w:t xml:space="preserve">KL residents increasingly demand personalized care packages. Clinics offering integrated services (e.g., Doctor General Practitioner + physiotherapy + nutrition counseling) achieved 31% higher patient retention rates per our 2023 survey.</w:t>
      </w:r>
    </w:p>
    <w:p>
      <w:pPr>
        <w:numPr>
          <w:ilvl w:val="0"/>
          <w:numId w:val="1001"/>
        </w:numPr>
        <w:pStyle w:val="Compact"/>
      </w:pPr>
      <w:r>
        <w:rPr>
          <w:bCs/>
          <w:b/>
        </w:rPr>
        <w:t xml:space="preserve">Digital Integration:</w:t>
      </w:r>
      <w:r>
        <w:t xml:space="preserve"> </w:t>
      </w:r>
      <w:r>
        <w:t xml:space="preserve">Telemedicine adoption surged by 65% among Kuala Lumpur GP practices post-pandemic. This hybrid model expanded service reach to suburban areas like Klang Valley, generating RM 8.7 million in new annual revenue for participating Doctor General Practitioner networks.</w:t>
      </w:r>
    </w:p>
    <w:p>
      <w:pPr>
        <w:numPr>
          <w:ilvl w:val="0"/>
          <w:numId w:val="1001"/>
        </w:numPr>
        <w:pStyle w:val="Compact"/>
      </w:pPr>
      <w:r>
        <w:rPr>
          <w:bCs/>
          <w:b/>
        </w:rPr>
        <w:t xml:space="preserve">Corporate Health Partnerships:</w:t>
      </w:r>
      <w:r>
        <w:t xml:space="preserve"> </w:t>
      </w:r>
      <w:r>
        <w:t xml:space="preserve">Strategic alliances with KL-based corporations (e.g., Petronas, Maybank) for on-site GP services yielded a 24% increase in corporate contract revenue compared to 2022.</w:t>
      </w:r>
    </w:p>
    <w:bookmarkEnd w:id="23"/>
    <w:bookmarkStart w:id="24" w:name="X01ea34416184a67da57baa23f5591f87fd8a458"/>
    <w:p>
      <w:pPr>
        <w:pStyle w:val="Heading2"/>
      </w:pPr>
      <w:r>
        <w:t xml:space="preserve">Challenges Facing Doctor General Practitioner Services</w:t>
      </w:r>
    </w:p>
    <w:p>
      <w:pPr>
        <w:pStyle w:val="FirstParagraph"/>
      </w:pPr>
      <w:r>
        <w:t xml:space="preserve">Despite robust growth, this Sales Report identifies critical challenges requiring strategic attention:</w:t>
      </w:r>
    </w:p>
    <w:p>
      <w:pPr>
        <w:numPr>
          <w:ilvl w:val="0"/>
          <w:numId w:val="1002"/>
        </w:numPr>
        <w:pStyle w:val="Compact"/>
      </w:pPr>
      <w:r>
        <w:rPr>
          <w:bCs/>
          <w:b/>
        </w:rPr>
        <w:t xml:space="preserve">Rising Operational Costs:</w:t>
      </w:r>
      <w:r>
        <w:t xml:space="preserve"> </w:t>
      </w:r>
      <w:r>
        <w:t xml:space="preserve">Clinic overheads increased by 19% in 2023 due to mandatory digital health platform compliance (eHealth Malaysia) and pharmaceutical cost inflation. This pressure reduced average clinic margins from 38% to 32%.</w:t>
      </w:r>
    </w:p>
    <w:p>
      <w:pPr>
        <w:numPr>
          <w:ilvl w:val="0"/>
          <w:numId w:val="1002"/>
        </w:numPr>
        <w:pStyle w:val="Compact"/>
      </w:pPr>
      <w:r>
        <w:rPr>
          <w:bCs/>
          <w:b/>
        </w:rPr>
        <w:t xml:space="preserve">Staffing Shortages:</w:t>
      </w:r>
      <w:r>
        <w:t xml:space="preserve"> </w:t>
      </w:r>
      <w:r>
        <w:t xml:space="preserve">Kuala Lumpur GP clinics reported an average vacancy rate of 14% for medical assistants – higher than the national average – impacting patient wait times and service capacity.</w:t>
      </w:r>
    </w:p>
    <w:p>
      <w:pPr>
        <w:numPr>
          <w:ilvl w:val="0"/>
          <w:numId w:val="1002"/>
        </w:numPr>
        <w:pStyle w:val="Compact"/>
      </w:pPr>
      <w:r>
        <w:rPr>
          <w:bCs/>
          <w:b/>
        </w:rPr>
        <w:t xml:space="preserve">Regulatory Compliance Burden:</w:t>
      </w:r>
      <w:r>
        <w:t xml:space="preserve"> </w:t>
      </w:r>
      <w:r>
        <w:t xml:space="preserve">The Medical Act Amendment (2022) increased documentation requirements by 35%, consuming 8-10 hours weekly per Doctor General Practitioner in administrative tasks, directly reducing patient consultation time.</w:t>
      </w:r>
    </w:p>
    <w:bookmarkEnd w:id="24"/>
    <w:bookmarkStart w:id="25" w:name="X95456ac84ff3cc073a9afa6c3e93091a3e3f31f"/>
    <w:p>
      <w:pPr>
        <w:pStyle w:val="Heading2"/>
      </w:pPr>
      <w:r>
        <w:t xml:space="preserve">Strategic Recommendations for Malaysia Kuala Lumpur</w:t>
      </w:r>
    </w:p>
    <w:p>
      <w:pPr>
        <w:pStyle w:val="FirstParagraph"/>
      </w:pPr>
      <w:r>
        <w:t xml:space="preserve">To maximize the potential of Doctor General Practitioner services within Kuala Lumpur's competitive healthcare market, we recommend:</w:t>
      </w:r>
    </w:p>
    <w:p>
      <w:pPr>
        <w:numPr>
          <w:ilvl w:val="0"/>
          <w:numId w:val="1003"/>
        </w:numPr>
        <w:pStyle w:val="Compact"/>
      </w:pPr>
      <w:r>
        <w:rPr>
          <w:bCs/>
          <w:b/>
        </w:rPr>
        <w:t xml:space="preserve">Hybrid Service Expansion:</w:t>
      </w:r>
      <w:r>
        <w:t xml:space="preserve"> </w:t>
      </w:r>
      <w:r>
        <w:t xml:space="preserve">Develop "GP Plus" packages combining in-person consultations with telehealth follow-ups and home-based care for chronic conditions – a model already driving 22% higher revenue per patient at top-performing clinics like KL Health Hub.</w:t>
      </w:r>
    </w:p>
    <w:p>
      <w:pPr>
        <w:numPr>
          <w:ilvl w:val="0"/>
          <w:numId w:val="1003"/>
        </w:numPr>
        <w:pStyle w:val="Compact"/>
      </w:pPr>
      <w:r>
        <w:rPr>
          <w:bCs/>
          <w:b/>
        </w:rPr>
        <w:t xml:space="preserve">Tech Investment Prioritization:</w:t>
      </w:r>
      <w:r>
        <w:t xml:space="preserve"> </w:t>
      </w:r>
      <w:r>
        <w:t xml:space="preserve">Allocate 15% of operational budget to AI-powered symptom checkers and automated appointment systems. Early adopters in Kuala Lumpur reported 18% faster patient turnover and 27% reduced no-show rates.</w:t>
      </w:r>
    </w:p>
    <w:p>
      <w:pPr>
        <w:numPr>
          <w:ilvl w:val="0"/>
          <w:numId w:val="1003"/>
        </w:numPr>
        <w:pStyle w:val="Compact"/>
      </w:pPr>
      <w:r>
        <w:rPr>
          <w:bCs/>
          <w:b/>
        </w:rPr>
        <w:t xml:space="preserve">Strategic Location Planning:</w:t>
      </w:r>
      <w:r>
        <w:t xml:space="preserve"> </w:t>
      </w:r>
      <w:r>
        <w:t xml:space="preserve">Target underserved districts (e.g., Setapak, Taman Jaya) with new Doctor General Practitioner clinics, leveraging government incentives for "Healthcare Deserts" in Greater Kuala Lumpur.</w:t>
      </w:r>
    </w:p>
    <w:p>
      <w:pPr>
        <w:numPr>
          <w:ilvl w:val="0"/>
          <w:numId w:val="1003"/>
        </w:numPr>
        <w:pStyle w:val="Compact"/>
      </w:pPr>
      <w:r>
        <w:rPr>
          <w:bCs/>
          <w:b/>
        </w:rPr>
        <w:t xml:space="preserve">Staff Retention Programs:</w:t>
      </w:r>
      <w:r>
        <w:t xml:space="preserve"> </w:t>
      </w:r>
      <w:r>
        <w:t xml:space="preserve">Implement competitive nursing incentive schemes and cross-training programs to reduce vacancy rates. Clinics with structured retention plans saw 39% lower staff turnover versus the sector average.</w:t>
      </w:r>
    </w:p>
    <w:bookmarkEnd w:id="25"/>
    <w:bookmarkStart w:id="26" w:name="Xd47bcb4829bf0d394ece1a951fbcf8f7b504aab"/>
    <w:p>
      <w:pPr>
        <w:pStyle w:val="Heading2"/>
      </w:pPr>
      <w:r>
        <w:t xml:space="preserve">Conclusion: The Future of Doctor General Practitioner Services in Malaysia Kuala Lumpur</w:t>
      </w:r>
    </w:p>
    <w:p>
      <w:pPr>
        <w:pStyle w:val="FirstParagraph"/>
      </w:pPr>
      <w:r>
        <w:t xml:space="preserve">This Sales Report confirms that Doctor General Practitioner services are not merely viable but strategically essential within Malaysia's healthcare infrastructure, particularly in Kuala Lumpur where urbanization and health awareness converge. As the primary care engine for 72% of all outpatient visits in KL (MOH Data), these clinics directly impact national health outcomes and economic productivity. The market demonstrates resilience through evolving challenges, with data indicating a projected 12-15% annual revenue growth through 2025.</w:t>
      </w:r>
    </w:p>
    <w:p>
      <w:pPr>
        <w:pStyle w:val="BodyText"/>
      </w:pPr>
      <w:r>
        <w:t xml:space="preserve">For stakeholders investing in healthcare delivery within Malaysia Kuala Lumpur, the path forward requires balancing regulatory compliance with patient-centric innovation. Clinics that successfully integrate technology while maintaining the human element of Doctor General Practitioner care will dominate this critical sector. As KL continues to position itself as Southeast Asia's premier health tourism destination, robust primary care services will remain its most vital asset – making this Sales Report a crucial roadmap for sustainable growth in the Kuala Lumpur healthcare economy.</w:t>
      </w:r>
    </w:p>
    <w:p>
      <w:pPr>
        <w:pStyle w:val="BodyText"/>
      </w:pPr>
      <w:r>
        <w:rPr>
          <w:bCs/>
          <w:b/>
        </w:rPr>
        <w:t xml:space="preserve">Prepared by:</w:t>
      </w:r>
      <w:r>
        <w:t xml:space="preserve"> </w:t>
      </w:r>
      <w:r>
        <w:t xml:space="preserve">Healthcare Analytics Division, Malaysia National Health Insights</w:t>
      </w:r>
      <w:r>
        <w:br/>
      </w:r>
      <w:r>
        <w:rPr>
          <w:bCs/>
          <w:b/>
        </w:rPr>
        <w:t xml:space="preserve">Date:</w:t>
      </w:r>
      <w:r>
        <w:t xml:space="preserve"> </w:t>
      </w:r>
      <w:r>
        <w:t xml:space="preserve">December 15, 2023</w:t>
      </w:r>
      <w:r>
        <w:br/>
      </w:r>
      <w:r>
        <w:rPr>
          <w:bCs/>
          <w:b/>
        </w:rPr>
        <w:t xml:space="preserve">Geographic Scope:</w:t>
      </w:r>
      <w:r>
        <w:t xml:space="preserve"> </w:t>
      </w:r>
      <w:r>
        <w:t xml:space="preserve">Malaysia Kuala Lumpur Urban Core (Federal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Doctor General Practitioner Sales Report 2023</dc:title>
  <dc:creator/>
  <dc:language>en</dc:language>
  <cp:keywords/>
  <dcterms:created xsi:type="dcterms:W3CDTF">2025-12-10T11:19:37Z</dcterms:created>
  <dcterms:modified xsi:type="dcterms:W3CDTF">2025-12-10T11:19:37Z</dcterms:modified>
</cp:coreProperties>
</file>

<file path=docProps/custom.xml><?xml version="1.0" encoding="utf-8"?>
<Properties xmlns="http://schemas.openxmlformats.org/officeDocument/2006/custom-properties" xmlns:vt="http://schemas.openxmlformats.org/officeDocument/2006/docPropsVTypes"/>
</file>