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Mexico</w:t>
      </w:r>
      <w:r>
        <w:t xml:space="preserve"> </w:t>
      </w:r>
      <w:r>
        <w:t xml:space="preserve">Mexico</w:t>
      </w:r>
      <w:r>
        <w:t xml:space="preserve"> </w:t>
      </w:r>
      <w:r>
        <w:t xml:space="preserve">City</w:t>
      </w:r>
    </w:p>
    <w:bookmarkStart w:id="28" w:name="X9c8f6c4fd8106c5b4541b1f0d016ac42c31ad2c"/>
    <w:p>
      <w:pPr>
        <w:pStyle w:val="Heading1"/>
      </w:pPr>
      <w:r>
        <w:t xml:space="preserve">Sales Report: General Practice Healthcare Services in Mexico City</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Healthcare Management Consortium</w:t>
      </w:r>
      <w:r>
        <w:br/>
      </w:r>
      <w:r>
        <w:rPr>
          <w:bCs/>
          <w:b/>
        </w:rPr>
        <w:t xml:space="preserve">Prepared By:</w:t>
      </w:r>
      <w:r>
        <w:t xml:space="preserve"> </w:t>
      </w:r>
      <w:r>
        <w:t xml:space="preserve">Strategic Insights Division, Mexico City Healthcare Analytics</w:t>
      </w:r>
    </w:p>
    <w:bookmarkStart w:id="20" w:name="i.-executive-summary"/>
    <w:p>
      <w:pPr>
        <w:pStyle w:val="Heading2"/>
      </w:pPr>
      <w:r>
        <w:t xml:space="preserve">I. Executive Summary</w:t>
      </w:r>
    </w:p>
    <w:p>
      <w:pPr>
        <w:pStyle w:val="FirstParagraph"/>
      </w:pPr>
      <w:r>
        <w:t xml:space="preserve">This comprehensive Sales Report analyzes the operational and financial performance of General Practice services within Mexico City's healthcare ecosystem. As a critical frontline component of Mexico's public and private medical infrastructure, Doctor General Practitioner (GP) services demonstrate remarkable resilience and growth potential in the nation's capital. The report confirms that consistent patient acquisition strategies have driven a 17.4% year-over-year revenue increase for GP practices across Mexico City, with particular strength observed in preventive care and chronic disease management segments. This document details market dynamics, sales performance metrics, competitive positioning, and actionable growth pathways specifically tailored to the unique context of Mexico Mexico City.</w:t>
      </w:r>
    </w:p>
    <w:bookmarkEnd w:id="20"/>
    <w:bookmarkStart w:id="21" w:name="X896d5389f47c30ebe9518497e342f97d5f70cae"/>
    <w:p>
      <w:pPr>
        <w:pStyle w:val="Heading2"/>
      </w:pPr>
      <w:r>
        <w:t xml:space="preserve">II. Market Context: Doctor General Practitioner Services in Mexico City</w:t>
      </w:r>
    </w:p>
    <w:p>
      <w:pPr>
        <w:pStyle w:val="FirstParagraph"/>
      </w:pPr>
      <w:r>
        <w:t xml:space="preserve">Mexico City represents a healthcare microcosm with over 9 million residents requiring primary care services. As the nation's medical epicenter, it hosts 43% of Mexico's licensed Doctor General Practitioners and serves as the testing ground for innovative primary care models. The city's dense urban landscape creates both challenges and opportunities: high population density enables efficient service delivery but intensifies competition from public health centers (IMSS, ISSSTE) and private clinics. Crucially, the Mexican government's "Health for All" initiative has elevated GP services to strategic importance in reducing emergency department overburden – a priority directly impacting our sales performance metrics.</w:t>
      </w:r>
    </w:p>
    <w:bookmarkEnd w:id="21"/>
    <w:bookmarkStart w:id="22" w:name="iii.-sales-performance-analysis-q3-2023"/>
    <w:p>
      <w:pPr>
        <w:pStyle w:val="Heading2"/>
      </w:pPr>
      <w:r>
        <w:t xml:space="preserve">III. Sales Performance Analysis (Q3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KPI</w:t>
            </w:r>
          </w:p>
        </w:tc>
        <w:tc>
          <w:tcPr/>
          <w:p>
            <w:pPr>
              <w:pStyle w:val="Compact"/>
              <w:jc w:val="left"/>
            </w:pPr>
            <w:r>
              <w:t xml:space="preserve">Q3 2023</w:t>
            </w:r>
          </w:p>
        </w:tc>
        <w:tc>
          <w:tcPr/>
          <w:p>
            <w:pPr>
              <w:pStyle w:val="Compact"/>
              <w:jc w:val="left"/>
            </w:pPr>
            <w:r>
              <w:t xml:space="preserve">Q3 2022</w:t>
            </w:r>
          </w:p>
        </w:tc>
        <w:tc>
          <w:tcPr/>
          <w:p>
            <w:pPr>
              <w:pStyle w:val="Compact"/>
              <w:jc w:val="left"/>
            </w:pPr>
            <w:r>
              <w:t xml:space="preserve">YoY Δ</w:t>
            </w:r>
          </w:p>
        </w:tc>
      </w:tr>
      <w:tr>
        <w:tc>
          <w:tcPr/>
          <w:p>
            <w:pPr>
              <w:pStyle w:val="Compact"/>
              <w:jc w:val="left"/>
            </w:pPr>
            <w:r>
              <w:t xml:space="preserve">Total Patient Visits (Mexico City)</w:t>
            </w:r>
          </w:p>
        </w:tc>
        <w:tc>
          <w:tcPr/>
          <w:p>
            <w:pPr>
              <w:pStyle w:val="Compact"/>
              <w:jc w:val="left"/>
            </w:pPr>
            <w:r>
              <w:t xml:space="preserve">18,450</w:t>
            </w:r>
          </w:p>
        </w:tc>
        <w:tc>
          <w:tcPr/>
          <w:p>
            <w:pPr>
              <w:pStyle w:val="Compact"/>
              <w:jc w:val="left"/>
            </w:pPr>
            <w:r>
              <w:t xml:space="preserve">15,780</w:t>
            </w:r>
          </w:p>
        </w:tc>
        <w:tc>
          <w:tcPr/>
          <w:p>
            <w:pPr>
              <w:pStyle w:val="Compact"/>
              <w:jc w:val="left"/>
            </w:pPr>
            <w:r>
              <w:t xml:space="preserve">+16.9%</w:t>
            </w:r>
          </w:p>
        </w:tc>
      </w:tr>
      <w:tr>
        <w:tc>
          <w:tcPr/>
          <w:p>
            <w:pPr>
              <w:pStyle w:val="Compact"/>
              <w:jc w:val="left"/>
            </w:pPr>
            <w:r>
              <w:t xml:space="preserve">Average Revenue Per Visit (ARPU)</w:t>
            </w:r>
          </w:p>
        </w:tc>
        <w:tc>
          <w:tcPr/>
          <w:p>
            <w:pPr>
              <w:pStyle w:val="Compact"/>
              <w:jc w:val="left"/>
            </w:pPr>
            <w:r>
              <w:t xml:space="preserve">$32.40 MXN</w:t>
            </w:r>
          </w:p>
        </w:tc>
        <w:tc>
          <w:tcPr/>
          <w:p>
            <w:pPr>
              <w:pStyle w:val="Compact"/>
              <w:jc w:val="left"/>
            </w:pPr>
            <w:r>
              <w:t xml:space="preserve">$29.85 MXN+8.5%</w:t>
            </w:r>
          </w:p>
        </w:tc>
        <w:tc>
          <w:tcPr/>
          <w:p>
            <w:pPr>
              <w:pStyle w:val="Compact"/>
            </w:pPr>
          </w:p>
        </w:tc>
      </w:tr>
      <w:tr>
        <w:tc>
          <w:tcPr/>
          <w:p>
            <w:pPr>
              <w:pStyle w:val="Compact"/>
              <w:jc w:val="left"/>
            </w:pPr>
            <w:r>
              <w:t xml:space="preserve">Total Revenue (Mexico City)</w:t>
            </w:r>
          </w:p>
        </w:tc>
        <w:tc>
          <w:tcPr/>
          <w:p>
            <w:pPr>
              <w:pStyle w:val="Compact"/>
              <w:jc w:val="left"/>
            </w:pPr>
            <w:r>
              <w:t xml:space="preserve">$597,780</w:t>
            </w:r>
          </w:p>
        </w:tc>
        <w:tc>
          <w:tcPr/>
          <w:p>
            <w:pPr>
              <w:pStyle w:val="Compact"/>
              <w:jc w:val="left"/>
            </w:pPr>
            <w:r>
              <w:t xml:space="preserve">$469,203</w:t>
            </w:r>
          </w:p>
        </w:tc>
        <w:tc>
          <w:tcPr/>
          <w:p>
            <w:pPr>
              <w:pStyle w:val="Compact"/>
              <w:jc w:val="left"/>
            </w:pPr>
            <w:r>
              <w:t xml:space="preserve">+27.4%</w:t>
            </w:r>
          </w:p>
        </w:tc>
      </w:tr>
      <w:tr>
        <w:tc>
          <w:tcPr/>
          <w:p>
            <w:pPr>
              <w:pStyle w:val="Compact"/>
              <w:jc w:val="left"/>
            </w:pPr>
            <w:r>
              <w:t xml:space="preserve">New Patient Acquisitions</w:t>
            </w:r>
          </w:p>
        </w:tc>
        <w:tc>
          <w:tcPr/>
          <w:p>
            <w:pPr>
              <w:pStyle w:val="Compact"/>
              <w:jc w:val="left"/>
            </w:pPr>
            <w:r>
              <w:t xml:space="preserve">1,120</w:t>
            </w:r>
          </w:p>
        </w:tc>
        <w:tc>
          <w:tcPr/>
          <w:p>
            <w:pPr>
              <w:pStyle w:val="Compact"/>
              <w:jc w:val="left"/>
            </w:pPr>
            <w:r>
              <w:t xml:space="preserve">856</w:t>
            </w:r>
          </w:p>
        </w:tc>
        <w:tc>
          <w:tcPr/>
          <w:p>
            <w:pPr>
              <w:pStyle w:val="Compact"/>
              <w:jc w:val="left"/>
            </w:pPr>
            <w:r>
              <w:t xml:space="preserve">+30.8%</w:t>
            </w:r>
          </w:p>
        </w:tc>
      </w:tr>
    </w:tbl>
    <w:p>
      <w:pPr>
        <w:pStyle w:val="BodyText"/>
      </w:pPr>
      <w:r>
        <w:t xml:space="preserve">The sales growth trajectory directly correlates with expanded insurance partnerships (including Seguro Popular and private plans like Mapfre) and targeted community health campaigns in key Mexico City boroughs (Cuauhtémoc, Benito Juárez, Coyoacán). Notably, telemedicine consultations grew by 54% this quarter as a result of strategic integration with local digital health platforms – a critical differentiator for Doctor General Practitioner services in Mexico Mexico City's congested urban environment.</w:t>
      </w:r>
    </w:p>
    <w:bookmarkEnd w:id="22"/>
    <w:bookmarkStart w:id="23" w:name="iv.-competitive-landscape-assessment"/>
    <w:p>
      <w:pPr>
        <w:pStyle w:val="Heading2"/>
      </w:pPr>
      <w:r>
        <w:t xml:space="preserve">IV. Competitive Landscape Assessment</w:t>
      </w:r>
    </w:p>
    <w:p>
      <w:pPr>
        <w:pStyle w:val="FirstParagraph"/>
      </w:pPr>
      <w:r>
        <w:t xml:space="preserve">Competitive analysis reveals three dominant market segments:</w:t>
      </w:r>
    </w:p>
    <w:p>
      <w:pPr>
        <w:numPr>
          <w:ilvl w:val="0"/>
          <w:numId w:val="1001"/>
        </w:numPr>
        <w:pStyle w:val="Compact"/>
      </w:pPr>
      <w:r>
        <w:rPr>
          <w:bCs/>
          <w:b/>
        </w:rPr>
        <w:t xml:space="preserve">Public Sector:</w:t>
      </w:r>
      <w:r>
        <w:t xml:space="preserve"> </w:t>
      </w:r>
      <w:r>
        <w:t xml:space="preserve">IMSS/ISSSTE clinics offer low-cost access but suffer from 3+ hour wait times (per Mexico City Health Survey 2023), creating demand for private GP alternatives.</w:t>
      </w:r>
    </w:p>
    <w:p>
      <w:pPr>
        <w:numPr>
          <w:ilvl w:val="0"/>
          <w:numId w:val="1001"/>
        </w:numPr>
        <w:pStyle w:val="Compact"/>
      </w:pPr>
      <w:r>
        <w:rPr>
          <w:bCs/>
          <w:b/>
        </w:rPr>
        <w:t xml:space="preserve">Corporate Clinics:</w:t>
      </w:r>
      <w:r>
        <w:t xml:space="preserve"> </w:t>
      </w:r>
      <w:r>
        <w:t xml:space="preserve">Large chains (Medica Sur, Hospital Ángeles) capture premium segments but lack neighborhood accessibility in Mexico City's periphery.</w:t>
      </w:r>
    </w:p>
    <w:p>
      <w:pPr>
        <w:numPr>
          <w:ilvl w:val="0"/>
          <w:numId w:val="1001"/>
        </w:numPr>
        <w:pStyle w:val="Compact"/>
      </w:pPr>
      <w:r>
        <w:rPr>
          <w:bCs/>
          <w:b/>
        </w:rPr>
        <w:t xml:space="preserve">Independent GP Practices:</w:t>
      </w:r>
      <w:r>
        <w:t xml:space="preserve"> </w:t>
      </w:r>
      <w:r>
        <w:t xml:space="preserve">Our organization leads in patient satisfaction (92.3% vs. city average 84.1%) through personalized care models that resonate with Mexico City's cultural emphasis on doctor-patient relationships.</w:t>
      </w:r>
    </w:p>
    <w:p>
      <w:pPr>
        <w:pStyle w:val="FirstParagraph"/>
      </w:pPr>
      <w:r>
        <w:t xml:space="preserve">A key insight: 78% of new patients cite "familiarity with the Doctor General Practitioner" as their primary acquisition driver – underscoring that relationship-based sales strategy remains paramount in Mexico Mexico City's healthcare culture.</w:t>
      </w:r>
    </w:p>
    <w:bookmarkEnd w:id="23"/>
    <w:bookmarkStart w:id="24" w:name="X217d08bfc8e4671d8a6a3eb5dfc369906057311"/>
    <w:p>
      <w:pPr>
        <w:pStyle w:val="Heading2"/>
      </w:pPr>
      <w:r>
        <w:t xml:space="preserve">V. Challenges Impacting Sales Performance</w:t>
      </w:r>
    </w:p>
    <w:p>
      <w:pPr>
        <w:pStyle w:val="FirstParagraph"/>
      </w:pPr>
      <w:r>
        <w:t xml:space="preserve">Despite robust growth, three persistent challenges require strategic intervention:</w:t>
      </w:r>
    </w:p>
    <w:p>
      <w:pPr>
        <w:numPr>
          <w:ilvl w:val="0"/>
          <w:numId w:val="1002"/>
        </w:numPr>
        <w:pStyle w:val="Compact"/>
      </w:pPr>
      <w:r>
        <w:rPr>
          <w:bCs/>
          <w:b/>
        </w:rPr>
        <w:t xml:space="preserve">Insurance Reimbursement Delays:</w:t>
      </w:r>
      <w:r>
        <w:t xml:space="preserve"> </w:t>
      </w:r>
      <w:r>
        <w:t xml:space="preserve">45% of GP revenue from public insurance plans experiences 60+ day payment cycles, straining cash flow despite strong patient volumes in Mexico City.</w:t>
      </w:r>
    </w:p>
    <w:p>
      <w:pPr>
        <w:numPr>
          <w:ilvl w:val="0"/>
          <w:numId w:val="1002"/>
        </w:numPr>
        <w:pStyle w:val="Compact"/>
      </w:pPr>
      <w:r>
        <w:rPr>
          <w:bCs/>
          <w:b/>
        </w:rPr>
        <w:t xml:space="preserve">Talent Retention:</w:t>
      </w:r>
      <w:r>
        <w:t xml:space="preserve"> </w:t>
      </w:r>
      <w:r>
        <w:t xml:space="preserve">High competition for qualified Doctor General Practitioner staff in Mexico City drives salary costs up by 12% YoY – directly impacting service margins.</w:t>
      </w:r>
    </w:p>
    <w:p>
      <w:pPr>
        <w:numPr>
          <w:ilvl w:val="0"/>
          <w:numId w:val="1002"/>
        </w:numPr>
        <w:pStyle w:val="Compact"/>
      </w:pPr>
      <w:r>
        <w:rPr>
          <w:bCs/>
          <w:b/>
        </w:rPr>
        <w:t xml:space="preserve">Urban Accessibility:</w:t>
      </w:r>
      <w:r>
        <w:t xml:space="preserve"> </w:t>
      </w:r>
      <w:r>
        <w:t xml:space="preserve">Traffic congestion (average commute: 58 minutes) limits new patient acquisition in peripheral neighborhoods like Iztapalapa and Tláhuac, where primary care needs are most acute.</w:t>
      </w:r>
    </w:p>
    <w:bookmarkEnd w:id="24"/>
    <w:bookmarkStart w:id="25" w:name="vi.-strategic-growth-opportunities"/>
    <w:p>
      <w:pPr>
        <w:pStyle w:val="Heading2"/>
      </w:pPr>
      <w:r>
        <w:t xml:space="preserve">VI. Strategic Growth Opportunities</w:t>
      </w:r>
    </w:p>
    <w:p>
      <w:pPr>
        <w:pStyle w:val="FirstParagraph"/>
      </w:pPr>
      <w:r>
        <w:t xml:space="preserve">This Sales Report identifies three high-potential growth vectors specifically validated by Mexico City's market dynamics:</w:t>
      </w:r>
      <w:r>
        <w:t xml:space="preserve"> </w:t>
      </w:r>
      <w:r>
        <w:rPr>
          <w:bCs/>
          <w:b/>
        </w:rPr>
        <w:t xml:space="preserve">A. Mobile Health Units for Peri-Urban Zones:</w:t>
      </w:r>
      <w:r>
        <w:t xml:space="preserve"> </w:t>
      </w:r>
      <w:r>
        <w:t xml:space="preserve">Deploying telehealth-enabled ambulances to service Mexico City's underserved boroughs (e.g., Milpa Alta, Xochimilco) could capture 2,500+ new patients annually with minimal infrastructure investment – directly addressing the accessibility challenge.</w:t>
      </w:r>
    </w:p>
    <w:p>
      <w:pPr>
        <w:pStyle w:val="BodyText"/>
      </w:pPr>
      <w:r>
        <w:rPr>
          <w:bCs/>
          <w:b/>
        </w:rPr>
        <w:t xml:space="preserve">B. Integrated Chronic Disease Programs:</w:t>
      </w:r>
      <w:r>
        <w:t xml:space="preserve"> </w:t>
      </w:r>
      <w:r>
        <w:t xml:space="preserve">Partnering with pharmaceutical distributors to offer bundled diabetes/hypertension management (including medication discounts) has generated 28% higher patient retention rates than standard care models in Mexico City's aging population segments.</w:t>
      </w:r>
    </w:p>
    <w:p>
      <w:pPr>
        <w:pStyle w:val="BodyText"/>
      </w:pPr>
      <w:r>
        <w:rPr>
          <w:bCs/>
          <w:b/>
        </w:rPr>
        <w:t xml:space="preserve">C. Corporate Wellness Partnerships:</w:t>
      </w:r>
      <w:r>
        <w:t xml:space="preserve"> </w:t>
      </w:r>
      <w:r>
        <w:t xml:space="preserve">Securing contracts with Mexico City's major employers (e.g., Telmex, Banamex offices) for on-site GP services represents a $1.2M+ annual revenue opportunity with 40% gross margins – a rapidly expanding channel not yet fully exploited by Doctor General Practitioner practices.</w:t>
      </w:r>
    </w:p>
    <w:bookmarkEnd w:id="25"/>
    <w:bookmarkStart w:id="26" w:name="vii.-actionable-recommendations"/>
    <w:p>
      <w:pPr>
        <w:pStyle w:val="Heading2"/>
      </w:pPr>
      <w:r>
        <w:t xml:space="preserve">VII. Actionable Recommendations</w:t>
      </w:r>
    </w:p>
    <w:p>
      <w:pPr>
        <w:pStyle w:val="FirstParagraph"/>
      </w:pPr>
      <w:r>
        <w:t xml:space="preserve">Based on this Mexico City Sales Report, we propose the following immediate initiatives:</w:t>
      </w:r>
    </w:p>
    <w:p>
      <w:pPr>
        <w:numPr>
          <w:ilvl w:val="0"/>
          <w:numId w:val="1003"/>
        </w:numPr>
        <w:pStyle w:val="Compact"/>
      </w:pPr>
      <w:r>
        <w:rPr>
          <w:bCs/>
          <w:b/>
        </w:rPr>
        <w:t xml:space="preserve">Implement AI-Powered Appointment Scheduling:</w:t>
      </w:r>
      <w:r>
        <w:t xml:space="preserve"> </w:t>
      </w:r>
      <w:r>
        <w:t xml:space="preserve">Reduce no-show rates (currently 18%) by 65% through SMS reminders with multilingual support, freeing capacity for 300+ additional patients monthly in Mexico City.</w:t>
      </w:r>
    </w:p>
    <w:p>
      <w:pPr>
        <w:numPr>
          <w:ilvl w:val="0"/>
          <w:numId w:val="1003"/>
        </w:numPr>
        <w:pStyle w:val="Compact"/>
      </w:pPr>
      <w:r>
        <w:rPr>
          <w:bCs/>
          <w:b/>
        </w:rPr>
        <w:t xml:space="preserve">Create "GP Neighborhood Ambassadors":</w:t>
      </w:r>
      <w:r>
        <w:t xml:space="preserve"> </w:t>
      </w:r>
      <w:r>
        <w:t xml:space="preserve">Recruit respected community leaders from each borough to facilitate patient acquisition – proven effective in Cuauhtémoc where this strategy boosted new visits by 37% within two months.</w:t>
      </w:r>
    </w:p>
    <w:p>
      <w:pPr>
        <w:numPr>
          <w:ilvl w:val="0"/>
          <w:numId w:val="1003"/>
        </w:numPr>
        <w:pStyle w:val="Compact"/>
      </w:pPr>
      <w:r>
        <w:rPr>
          <w:bCs/>
          <w:b/>
        </w:rPr>
        <w:t xml:space="preserve">Negotiate Insurance Payment Terms:</w:t>
      </w:r>
      <w:r>
        <w:t xml:space="preserve"> </w:t>
      </w:r>
      <w:r>
        <w:t xml:space="preserve">Establish a pilot with Seguro Popular to reduce payment cycles from 90 to 45 days, improving cash flow for GP practice operations across Mexico City.</w:t>
      </w:r>
    </w:p>
    <w:bookmarkEnd w:id="26"/>
    <w:bookmarkStart w:id="27" w:name="viii.-conclusion-future-outlook"/>
    <w:p>
      <w:pPr>
        <w:pStyle w:val="Heading2"/>
      </w:pPr>
      <w:r>
        <w:t xml:space="preserve">VIII. Conclusion: Future Outlook</w:t>
      </w:r>
    </w:p>
    <w:p>
      <w:pPr>
        <w:pStyle w:val="FirstParagraph"/>
      </w:pPr>
      <w:r>
        <w:t xml:space="preserve">The data unequivocally demonstrates that Doctor General Practitioner services are not merely viable but strategically essential within Mexico Mexico City's healthcare framework. With the city's population projected to reach 23 million by 2035, primary care demand will accelerate exponentially. This Sales Report confirms our market position as a growth leader – but sustained success requires doubling down on hyperlocal strategies that resonate with Mexico City's unique sociocultural fabric. We project 22% revenue growth for Q4 2023 through the implementation of these recommendations, cementing our role as the preferred Doctor General Practitioner partner across Mexico City's neighborhoods. The path forward is clear: leverage relationships, optimize urban delivery models, and prioritize accessibility to capture the next wave of Mexico City's healthcare consumers.</w:t>
      </w:r>
    </w:p>
    <w:p>
      <w:pPr>
        <w:pStyle w:val="BodyText"/>
      </w:pPr>
      <w:r>
        <w:rPr>
          <w:bCs/>
          <w:b/>
        </w:rPr>
        <w:t xml:space="preserve">Appendix:</w:t>
      </w:r>
      <w:r>
        <w:t xml:space="preserve"> </w:t>
      </w:r>
      <w:r>
        <w:t xml:space="preserve">Full dataset available for review in "Mexico_City_GP_Sales_Q3_2023.xlsx" (Password-protected per HIPAA-Mexico compliance protocols)</w:t>
      </w:r>
    </w:p>
    <w:p>
      <w:pPr>
        <w:pStyle w:val="BodyText"/>
      </w:pPr>
      <w:r>
        <w:rPr>
          <w:iCs/>
          <w:i/>
        </w:rPr>
        <w:t xml:space="preserve">This Sales Report reflects data exclusively from Mexico City operations as of September 30, 2023. All metrics calculated using Mexico's National Institute of Statistics and Geography (INEGI) healthcare databases and internal practice management software.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Doctor General Practitioner in Mexico Mexico City</dc:title>
  <dc:creator/>
  <dc:language>en</dc:language>
  <cp:keywords/>
  <dcterms:created xsi:type="dcterms:W3CDTF">2026-07-21T06:21:37Z</dcterms:created>
  <dcterms:modified xsi:type="dcterms:W3CDTF">2026-07-21T06:21:37Z</dcterms:modified>
</cp:coreProperties>
</file>

<file path=docProps/custom.xml><?xml version="1.0" encoding="utf-8"?>
<Properties xmlns="http://schemas.openxmlformats.org/officeDocument/2006/custom-properties" xmlns:vt="http://schemas.openxmlformats.org/officeDocument/2006/docPropsVTypes"/>
</file>