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Practice</w:t>
      </w:r>
      <w:r>
        <w:t xml:space="preserve"> </w:t>
      </w:r>
      <w:r>
        <w:t xml:space="preserve">in</w:t>
      </w:r>
      <w:r>
        <w:t xml:space="preserve"> </w:t>
      </w:r>
      <w:r>
        <w:t xml:space="preserve">Morocco</w:t>
      </w:r>
      <w:r>
        <w:t xml:space="preserve"> </w:t>
      </w:r>
      <w:r>
        <w:t xml:space="preserve">Casablanca</w:t>
      </w:r>
    </w:p>
    <w:bookmarkStart w:id="32" w:name="Xbefdca88dcaf5cf47400529619deb4f77526da6"/>
    <w:p>
      <w:pPr>
        <w:pStyle w:val="Heading1"/>
      </w:pPr>
      <w:r>
        <w:t xml:space="preserve">COMPREHENSIVE SALES REPORT</w:t>
      </w:r>
      <w:r>
        <w:br/>
      </w:r>
      <w:r>
        <w:t xml:space="preserve">DOCTOR GENERAL PRACTITIONER PRACTICE IN CASABLANCA, MOROCCO</w:t>
      </w:r>
    </w:p>
    <w:p>
      <w:pPr>
        <w:pStyle w:val="FirstParagraph"/>
      </w:pPr>
      <w:r>
        <w:t xml:space="preserve">Prepared for Stakeholders • Q3 2023 • Casablanca, Morocco</w:t>
      </w:r>
    </w:p>
    <w:bookmarkStart w:id="20" w:name="executive-summary"/>
    <w:p>
      <w:pPr>
        <w:pStyle w:val="Heading2"/>
      </w:pPr>
      <w:r>
        <w:t xml:space="preserve">Executive Summary</w:t>
      </w:r>
    </w:p>
    <w:p>
      <w:pPr>
        <w:pStyle w:val="FirstParagraph"/>
      </w:pPr>
      <w:r>
        <w:t xml:space="preserve">This Sales Report provides a detailed analysis of the performance metrics, market positioning, and strategic outlook for our General Practitioner (GP) practice operating in Casablanca, Morocco. The period covered spans July 1st to September 30th, 2023. Our practice continues to demonstrate robust growth in patient acquisition and revenue generation within Morocco's evolving healthcare landscape, solidifying its position as a leading</w:t>
      </w:r>
      <w:r>
        <w:t xml:space="preserve"> </w:t>
      </w:r>
      <w:r>
        <w:rPr>
          <w:bCs/>
          <w:b/>
        </w:rPr>
        <w:t xml:space="preserve">Doctor General Practitioner</w:t>
      </w:r>
      <w:r>
        <w:t xml:space="preserve"> </w:t>
      </w:r>
      <w:r>
        <w:t xml:space="preserve">provider in the Casablanca metropolitan area.</w:t>
      </w:r>
    </w:p>
    <w:bookmarkEnd w:id="20"/>
    <w:bookmarkStart w:id="21" w:name="Xdc0338ee737277d4e6bdf2c50effbf6df4d1b3e"/>
    <w:p>
      <w:pPr>
        <w:pStyle w:val="Heading2"/>
      </w:pPr>
      <w:r>
        <w:t xml:space="preserve">Market Context: Healthcare Dynamics in Morocco Casablanca</w:t>
      </w:r>
    </w:p>
    <w:p>
      <w:pPr>
        <w:pStyle w:val="FirstParagraph"/>
      </w:pPr>
      <w:r>
        <w:t xml:space="preserve">Casablanca, as Morocco's economic capital and most populous city (population ~4 million), presents a unique healthcare environment. The Moroccan government's ongoing healthcare reform initiatives prioritize primary care accessibility, creating significant opportunities for well-positioned</w:t>
      </w:r>
      <w:r>
        <w:t xml:space="preserve"> </w:t>
      </w:r>
      <w:r>
        <w:rPr>
          <w:bCs/>
          <w:b/>
        </w:rPr>
        <w:t xml:space="preserve">Doctor General Practitioner</w:t>
      </w:r>
      <w:r>
        <w:t xml:space="preserve"> </w:t>
      </w:r>
      <w:r>
        <w:t xml:space="preserve">services. With 72% of Moroccans utilizing private healthcare for non-emergency care (World Bank, 2023), Casablanca's urban population exhibits high demand for reliable outpatient services. Our practice strategically targets this market segment by offering comprehensive family health management within a culturally sensitive framework.</w:t>
      </w:r>
    </w:p>
    <w:bookmarkEnd w:id="21"/>
    <w:bookmarkStart w:id="24" w:name="sales-performance-analysis-q3-2023"/>
    <w:p>
      <w:pPr>
        <w:pStyle w:val="Heading2"/>
      </w:pPr>
      <w:r>
        <w:t xml:space="preserve">Sales Performance Analysis (Q3 2023)</w:t>
      </w:r>
    </w:p>
    <w:bookmarkStart w:id="22" w:name="key-revenue-metrics"/>
    <w:p>
      <w:pPr>
        <w:pStyle w:val="Heading3"/>
      </w:pPr>
      <w:r>
        <w:t xml:space="preserve">Key Revenue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Total Consultation Revenue (MAD)</w:t>
            </w:r>
          </w:p>
        </w:tc>
        <w:tc>
          <w:tcPr/>
          <w:p>
            <w:pPr>
              <w:pStyle w:val="Compact"/>
              <w:jc w:val="left"/>
            </w:pPr>
            <w:r>
              <w:t xml:space="preserve">1,845,000</w:t>
            </w:r>
          </w:p>
        </w:tc>
        <w:tc>
          <w:tcPr/>
          <w:p>
            <w:pPr>
              <w:pStyle w:val="Compact"/>
              <w:jc w:val="left"/>
            </w:pPr>
            <w:r>
              <w:t xml:space="preserve">1,678,500</w:t>
            </w:r>
          </w:p>
        </w:tc>
        <w:tc>
          <w:tcPr/>
          <w:p>
            <w:pPr>
              <w:pStyle w:val="Compact"/>
              <w:jc w:val="left"/>
            </w:pPr>
            <w:r>
              <w:t xml:space="preserve">+9.9%</w:t>
            </w:r>
          </w:p>
        </w:tc>
      </w:tr>
      <w:tr>
        <w:tc>
          <w:tcPr/>
          <w:p>
            <w:pPr>
              <w:pStyle w:val="Compact"/>
              <w:jc w:val="left"/>
            </w:pPr>
            <w:r>
              <w:t xml:space="preserve">Average Revenue per Consultation (MAD)</w:t>
            </w:r>
          </w:p>
        </w:tc>
        <w:tc>
          <w:tcPr/>
          <w:p>
            <w:pPr>
              <w:pStyle w:val="Compact"/>
              <w:jc w:val="left"/>
            </w:pPr>
            <w:r>
              <w:t xml:space="preserve">425</w:t>
            </w:r>
          </w:p>
        </w:tc>
        <w:tc>
          <w:tcPr/>
          <w:p>
            <w:pPr>
              <w:pStyle w:val="Compact"/>
              <w:jc w:val="left"/>
            </w:pPr>
            <w:r>
              <w:t xml:space="preserve">410</w:t>
            </w:r>
          </w:p>
        </w:tc>
        <w:tc>
          <w:tcPr/>
          <w:p>
            <w:pPr>
              <w:pStyle w:val="Compact"/>
              <w:jc w:val="left"/>
            </w:pPr>
            <w:r>
              <w:t xml:space="preserve">+3.7%</w:t>
            </w:r>
          </w:p>
        </w:tc>
      </w:tr>
      <w:tr>
        <w:tc>
          <w:tcPr/>
          <w:p>
            <w:pPr>
              <w:pStyle w:val="Compact"/>
              <w:jc w:val="left"/>
            </w:pPr>
            <w:r>
              <w:t xml:space="preserve">New Patient Acquisitions</w:t>
            </w:r>
          </w:p>
        </w:tc>
        <w:tc>
          <w:tcPr/>
          <w:p>
            <w:pPr>
              <w:pStyle w:val="Compact"/>
              <w:jc w:val="left"/>
            </w:pPr>
            <w:r>
              <w:t xml:space="preserve">287</w:t>
            </w:r>
          </w:p>
        </w:tc>
        <w:tc>
          <w:tcPr/>
          <w:p>
            <w:pPr>
              <w:pStyle w:val="Compact"/>
              <w:jc w:val="left"/>
            </w:pPr>
            <w:r>
              <w:t xml:space="preserve">253</w:t>
            </w:r>
          </w:p>
        </w:tc>
        <w:tc>
          <w:tcPr/>
          <w:p>
            <w:pPr>
              <w:pStyle w:val="Compact"/>
              <w:jc w:val="left"/>
            </w:pPr>
            <w:r>
              <w:t xml:space="preserve">+13.4%</w:t>
            </w:r>
          </w:p>
        </w:tc>
      </w:tr>
      <w:tr>
        <w:tc>
          <w:tcPr/>
          <w:p>
            <w:pPr>
              <w:pStyle w:val="Compact"/>
              <w:jc w:val="left"/>
            </w:pPr>
            <w:r>
              <w:t xml:space="preserve">Patient Retention Rate</w:t>
            </w:r>
          </w:p>
        </w:tc>
        <w:tc>
          <w:tcPr/>
          <w:p>
            <w:pPr>
              <w:pStyle w:val="Compact"/>
              <w:jc w:val="left"/>
            </w:pPr>
            <w:r>
              <w:t xml:space="preserve">76%</w:t>
            </w:r>
          </w:p>
        </w:tc>
        <w:tc>
          <w:tcPr/>
          <w:p>
            <w:pPr>
              <w:pStyle w:val="Compact"/>
              <w:jc w:val="left"/>
            </w:pPr>
            <w:r>
              <w:t xml:space="preserve">72%</w:t>
            </w:r>
          </w:p>
        </w:tc>
        <w:tc>
          <w:tcPr/>
          <w:p>
            <w:pPr>
              <w:pStyle w:val="Compact"/>
              <w:jc w:val="left"/>
            </w:pPr>
            <w:r>
              <w:t xml:space="preserve">+4.0%</w:t>
            </w:r>
          </w:p>
        </w:tc>
      </w:tr>
    </w:tbl>
    <w:bookmarkEnd w:id="22"/>
    <w:bookmarkStart w:id="23" w:name="sales-channel-breakdown"/>
    <w:p>
      <w:pPr>
        <w:pStyle w:val="Heading3"/>
      </w:pPr>
      <w:r>
        <w:t xml:space="preserve">Sales Channel Breakdown</w:t>
      </w:r>
    </w:p>
    <w:p>
      <w:pPr>
        <w:numPr>
          <w:ilvl w:val="0"/>
          <w:numId w:val="1001"/>
        </w:numPr>
        <w:pStyle w:val="Compact"/>
      </w:pPr>
      <w:r>
        <w:rPr>
          <w:bCs/>
          <w:b/>
        </w:rPr>
        <w:t xml:space="preserve">Walk-in Consultations (52%)</w:t>
      </w:r>
      <w:r>
        <w:t xml:space="preserve">: Dominant channel reflecting strong community presence and trust in our Casablanca practice location.</w:t>
      </w:r>
    </w:p>
    <w:p>
      <w:pPr>
        <w:numPr>
          <w:ilvl w:val="0"/>
          <w:numId w:val="1001"/>
        </w:numPr>
        <w:pStyle w:val="Compact"/>
      </w:pPr>
      <w:r>
        <w:rPr>
          <w:bCs/>
          <w:b/>
        </w:rPr>
        <w:t xml:space="preserve">Online Appointments (31%)</w:t>
      </w:r>
      <w:r>
        <w:t xml:space="preserve">: Significant growth driven by our mobile app integration with local health insurance partners.</w:t>
      </w:r>
    </w:p>
    <w:p>
      <w:pPr>
        <w:numPr>
          <w:ilvl w:val="0"/>
          <w:numId w:val="1001"/>
        </w:numPr>
        <w:pStyle w:val="Compact"/>
      </w:pPr>
      <w:r>
        <w:rPr>
          <w:bCs/>
          <w:b/>
        </w:rPr>
        <w:t xml:space="preserve">Corporate Wellness Contracts (17%)</w:t>
      </w:r>
      <w:r>
        <w:t xml:space="preserve">: Key revenue stream from 8 major multinational companies operating in Casablanca's business districts.</w:t>
      </w:r>
    </w:p>
    <w:bookmarkEnd w:id="23"/>
    <w:bookmarkEnd w:id="24"/>
    <w:bookmarkStart w:id="28" w:name="X2898592428c5eb8eb990ed82ecc9a5b9847e138"/>
    <w:p>
      <w:pPr>
        <w:pStyle w:val="Heading2"/>
      </w:pPr>
      <w:r>
        <w:t xml:space="preserve">Strategic Advantages Driving Sales Success</w:t>
      </w:r>
    </w:p>
    <w:p>
      <w:pPr>
        <w:pStyle w:val="FirstParagraph"/>
      </w:pPr>
      <w:r>
        <w:t xml:space="preserve">Our competitive edge in Morocco Casablanca stems from three core pillars:</w:t>
      </w:r>
    </w:p>
    <w:bookmarkStart w:id="25" w:name="X33ccf78c7b01c220a723e66bf95454916cc41c7"/>
    <w:p>
      <w:pPr>
        <w:pStyle w:val="Heading3"/>
      </w:pPr>
      <w:r>
        <w:t xml:space="preserve">Cultural Integration &amp; Patient-Centric Approach</w:t>
      </w:r>
    </w:p>
    <w:p>
      <w:pPr>
        <w:pStyle w:val="FirstParagraph"/>
      </w:pPr>
      <w:r>
        <w:t xml:space="preserve">We employ bilingual (Arabic/French) medical staff trained in Moroccan healthcare customs. This cultural competency significantly enhances patient trust – a critical factor for</w:t>
      </w:r>
      <w:r>
        <w:t xml:space="preserve"> </w:t>
      </w:r>
      <w:r>
        <w:rPr>
          <w:bCs/>
          <w:b/>
        </w:rPr>
        <w:t xml:space="preserve">Doctor General Practitioner</w:t>
      </w:r>
      <w:r>
        <w:t xml:space="preserve"> </w:t>
      </w:r>
      <w:r>
        <w:t xml:space="preserve">success in Morocco. The practice implemented "Family Health Journeys" where GPs track patients' chronic conditions across generations, increasing retention by 18% year-over-year.</w:t>
      </w:r>
    </w:p>
    <w:bookmarkEnd w:id="25"/>
    <w:bookmarkStart w:id="26" w:name="tech-enabled-patient-experience"/>
    <w:p>
      <w:pPr>
        <w:pStyle w:val="Heading3"/>
      </w:pPr>
      <w:r>
        <w:t xml:space="preserve">Tech-Enabled Patient Experience</w:t>
      </w:r>
    </w:p>
    <w:p>
      <w:pPr>
        <w:pStyle w:val="FirstParagraph"/>
      </w:pPr>
      <w:r>
        <w:t xml:space="preserve">The Casablanca location utilizes a localized EHR system (integrated with Morocco's national health ID program) allowing seamless access to patient records. Our mobile platform features SMS appointment reminders in Darija (Moroccan Arabic) and telehealth consultations for rural patients from surrounding areas, capturing 12% of new revenue.</w:t>
      </w:r>
    </w:p>
    <w:bookmarkEnd w:id="26"/>
    <w:bookmarkStart w:id="27" w:name="strategic-health-insurance-partnerships"/>
    <w:p>
      <w:pPr>
        <w:pStyle w:val="Heading3"/>
      </w:pPr>
      <w:r>
        <w:t xml:space="preserve">Strategic Health Insurance Partnerships</w:t>
      </w:r>
    </w:p>
    <w:p>
      <w:pPr>
        <w:pStyle w:val="FirstParagraph"/>
      </w:pPr>
      <w:r>
        <w:t xml:space="preserve">Collaboration with Morocco's top insurers (CIMR, Al Amana) has expanded our reach. Our practice now accepts 95% of private insurance plans in Casablanca, with claims processing time reduced to 48 hours – a key differentiator from competitors.</w:t>
      </w:r>
    </w:p>
    <w:bookmarkEnd w:id="27"/>
    <w:bookmarkEnd w:id="28"/>
    <w:bookmarkStart w:id="29" w:name="challenges-market-opportunities"/>
    <w:p>
      <w:pPr>
        <w:pStyle w:val="Heading2"/>
      </w:pPr>
      <w:r>
        <w:t xml:space="preserve">Challenges &amp; Market Opportunities</w:t>
      </w:r>
    </w:p>
    <w:p>
      <w:pPr>
        <w:pStyle w:val="FirstParagraph"/>
      </w:pPr>
      <w:r>
        <w:t xml:space="preserve">Despite strong performance, three critical challenges require strategic attention:</w:t>
      </w:r>
    </w:p>
    <w:p>
      <w:pPr>
        <w:numPr>
          <w:ilvl w:val="0"/>
          <w:numId w:val="1002"/>
        </w:numPr>
        <w:pStyle w:val="Compact"/>
      </w:pPr>
      <w:r>
        <w:rPr>
          <w:bCs/>
          <w:b/>
        </w:rPr>
        <w:t xml:space="preserve">Insurance Reimbursement Delays</w:t>
      </w:r>
      <w:r>
        <w:t xml:space="preserve">: Average 15-day processing time for state insurers (vs. private sector's 3 days), affecting cash flow.</w:t>
      </w:r>
    </w:p>
    <w:p>
      <w:pPr>
        <w:numPr>
          <w:ilvl w:val="0"/>
          <w:numId w:val="1002"/>
        </w:numPr>
        <w:pStyle w:val="Compact"/>
      </w:pPr>
      <w:r>
        <w:rPr>
          <w:bCs/>
          <w:b/>
        </w:rPr>
        <w:t xml:space="preserve">Talent Retention in Casablanca</w:t>
      </w:r>
      <w:r>
        <w:t xml:space="preserve">: Competition from hospitals and Dubai-based clinics for specialized GPs.</w:t>
      </w:r>
    </w:p>
    <w:p>
      <w:pPr>
        <w:numPr>
          <w:ilvl w:val="0"/>
          <w:numId w:val="1002"/>
        </w:numPr>
        <w:pStyle w:val="Compact"/>
      </w:pPr>
      <w:r>
        <w:rPr>
          <w:bCs/>
          <w:b/>
        </w:rPr>
        <w:t xml:space="preserve">Rural-Urban Disparities</w:t>
      </w:r>
      <w:r>
        <w:t xml:space="preserve">: 68% of patients travel &gt;20km to our Casablanca clinic, indicating demand for satellite locations.</w:t>
      </w:r>
    </w:p>
    <w:p>
      <w:pPr>
        <w:pStyle w:val="FirstParagraph"/>
      </w:pPr>
      <w:r>
        <w:t xml:space="preserve">Concurrently, emerging opportunities exist in:</w:t>
      </w:r>
    </w:p>
    <w:p>
      <w:pPr>
        <w:numPr>
          <w:ilvl w:val="0"/>
          <w:numId w:val="1003"/>
        </w:numPr>
        <w:pStyle w:val="Compact"/>
      </w:pPr>
      <w:r>
        <w:rPr>
          <w:bCs/>
          <w:b/>
        </w:rPr>
        <w:t xml:space="preserve">Preventive Care Expansion</w:t>
      </w:r>
      <w:r>
        <w:t xml:space="preserve">: High obesity rates (38% adult prevalence) create demand for our new diabetes prevention program.</w:t>
      </w:r>
    </w:p>
    <w:p>
      <w:pPr>
        <w:numPr>
          <w:ilvl w:val="0"/>
          <w:numId w:val="1003"/>
        </w:numPr>
        <w:pStyle w:val="Compact"/>
      </w:pPr>
      <w:r>
        <w:rPr>
          <w:bCs/>
          <w:b/>
        </w:rPr>
        <w:t xml:space="preserve">Women's Health Focus</w:t>
      </w:r>
      <w:r>
        <w:t xml:space="preserve">: 47% of new patients are women seeking gynecological services – under-served in Casablanca GP market.</w:t>
      </w:r>
    </w:p>
    <w:p>
      <w:pPr>
        <w:numPr>
          <w:ilvl w:val="0"/>
          <w:numId w:val="1003"/>
        </w:numPr>
        <w:pStyle w:val="Compact"/>
      </w:pPr>
      <w:r>
        <w:rPr>
          <w:bCs/>
          <w:b/>
        </w:rPr>
        <w:t xml:space="preserve">Telehealth Integration</w:t>
      </w:r>
      <w:r>
        <w:t xml:space="preserve">: Government's "Digital Morocco" initiative enables nationwide teleconsultation expansion beyond Casablanca.</w:t>
      </w:r>
    </w:p>
    <w:bookmarkEnd w:id="29"/>
    <w:bookmarkStart w:id="30" w:name="growth-strategy-implementation"/>
    <w:p>
      <w:pPr>
        <w:pStyle w:val="Heading2"/>
      </w:pPr>
      <w:r>
        <w:t xml:space="preserve">Growth Strategy Implementation</w:t>
      </w:r>
    </w:p>
    <w:p>
      <w:pPr>
        <w:pStyle w:val="FirstParagraph"/>
      </w:pPr>
      <w:r>
        <w:t xml:space="preserve">Based on Q3 performance, our strategic priorities for Q4 are:</w:t>
      </w:r>
    </w:p>
    <w:p>
      <w:pPr>
        <w:numPr>
          <w:ilvl w:val="0"/>
          <w:numId w:val="1004"/>
        </w:numPr>
        <w:pStyle w:val="Compact"/>
      </w:pPr>
      <w:r>
        <w:rPr>
          <w:bCs/>
          <w:b/>
        </w:rPr>
        <w:t xml:space="preserve">Launch "Casablanca Health Passport" Program</w:t>
      </w:r>
      <w:r>
        <w:t xml:space="preserve">: A digital health record system integrated with Morocco's national ID, enabling seamless care across network providers (launching October 15).</w:t>
      </w:r>
    </w:p>
    <w:p>
      <w:pPr>
        <w:numPr>
          <w:ilvl w:val="0"/>
          <w:numId w:val="1004"/>
        </w:numPr>
        <w:pStyle w:val="Compact"/>
      </w:pPr>
      <w:r>
        <w:rPr>
          <w:bCs/>
          <w:b/>
        </w:rPr>
        <w:t xml:space="preserve">Open Satellite Clinic in Hay Hassani</w:t>
      </w:r>
      <w:r>
        <w:t xml:space="preserve">: Targeting underserved low-income neighborhood with subsidized rates for Moroccan citizens (projected 35% patient increase).</w:t>
      </w:r>
    </w:p>
    <w:p>
      <w:pPr>
        <w:numPr>
          <w:ilvl w:val="0"/>
          <w:numId w:val="1004"/>
        </w:numPr>
        <w:pStyle w:val="Compact"/>
      </w:pPr>
      <w:r>
        <w:rPr>
          <w:bCs/>
          <w:b/>
        </w:rPr>
        <w:t xml:space="preserve">Negotiate Direct Insurance Contracts</w:t>
      </w:r>
      <w:r>
        <w:t xml:space="preserve">: Securing agreements with 3 new insurers to reduce reimbursement delays by 60%.</w:t>
      </w:r>
    </w:p>
    <w:bookmarkEnd w:id="30"/>
    <w:bookmarkStart w:id="31" w:name="conclusion-forward-outlook"/>
    <w:p>
      <w:pPr>
        <w:pStyle w:val="Heading2"/>
      </w:pPr>
      <w:r>
        <w:t xml:space="preserve">Conclusion &amp; Forward Outlook</w:t>
      </w:r>
    </w:p>
    <w:p>
      <w:pPr>
        <w:pStyle w:val="FirstParagraph"/>
      </w:pPr>
      <w:r>
        <w:t xml:space="preserve">The Q3 sales performance validates our strategic positioning as a premier</w:t>
      </w:r>
      <w:r>
        <w:t xml:space="preserve"> </w:t>
      </w:r>
      <w:r>
        <w:rPr>
          <w:bCs/>
          <w:b/>
        </w:rPr>
        <w:t xml:space="preserve">Doctor General Practitioner</w:t>
      </w:r>
      <w:r>
        <w:t xml:space="preserve"> </w:t>
      </w:r>
      <w:r>
        <w:t xml:space="preserve">practice within Morocco Casablanca. Our revenue growth of 9.9% exceeds the national GP sector average of 6.2% (Moroccan Ministry of Health, Q2 2023), demonstrating effective market capture in this high-potential urban center.</w:t>
      </w:r>
    </w:p>
    <w:p>
      <w:pPr>
        <w:pStyle w:val="BodyText"/>
      </w:pPr>
      <w:r>
        <w:t xml:space="preserve">As Morocco advances its healthcare transformation under the National Health Strategy 2018-2030, our Casablanca practice is uniquely positioned to capitalize on the shift toward primary care. By maintaining cultural sensitivity while implementing technology-driven solutions, we continue to deliver superior patient outcomes that directly translate into sustainable revenue growth. The implementation of our Q4 strategy – particularly the satellite clinic in Hay Hassani and digital health passport – will position us for 15-18% year-over-year growth in 2024, reinforcing our leadership in Morocco's evolving healthcare landscape.</w:t>
      </w:r>
    </w:p>
    <w:p>
      <w:pPr>
        <w:pStyle w:val="BodyText"/>
      </w:pPr>
      <w:r>
        <w:t xml:space="preserve">Our continued success as a</w:t>
      </w:r>
      <w:r>
        <w:t xml:space="preserve"> </w:t>
      </w:r>
      <w:r>
        <w:rPr>
          <w:bCs/>
          <w:b/>
        </w:rPr>
        <w:t xml:space="preserve">Doctor General Practitioner</w:t>
      </w:r>
      <w:r>
        <w:t xml:space="preserve"> </w:t>
      </w:r>
      <w:r>
        <w:t xml:space="preserve">practice hinges on balancing Moroccan cultural values with modern medical standards. This Sales Report underscores our commitment to serving Casablanca's diverse population with excellence, and we project sustained market leadership through strategic innovation within Morocco's dynamic healthcare ecosystem.</w:t>
      </w:r>
    </w:p>
    <w:p>
      <w:pPr>
        <w:pStyle w:val="BodyText"/>
      </w:pPr>
      <w:r>
        <w:rPr>
          <w:bCs/>
          <w:b/>
        </w:rPr>
        <w:t xml:space="preserve">Prepared by:</w:t>
      </w:r>
      <w:r>
        <w:t xml:space="preserve"> </w:t>
      </w:r>
      <w:r>
        <w:t xml:space="preserve">Sales &amp; Strategy Department</w:t>
      </w:r>
    </w:p>
    <w:p>
      <w:pPr>
        <w:pStyle w:val="BodyText"/>
      </w:pPr>
      <w:r>
        <w:rPr>
          <w:bCs/>
          <w:b/>
        </w:rPr>
        <w:t xml:space="preserve">Contact:</w:t>
      </w:r>
      <w:r>
        <w:t xml:space="preserve"> </w:t>
      </w:r>
      <w:r>
        <w:t xml:space="preserve">info@casablancadocgp.ma • +212 522-789-456</w:t>
      </w:r>
    </w:p>
    <w:p>
      <w:pPr>
        <w:pStyle w:val="BodyText"/>
      </w:pPr>
      <w:r>
        <w:rPr>
          <w:iCs/>
          <w:i/>
        </w:rPr>
        <w:t xml:space="preserve">This document covers operations exclusively within Morocco Casablanca metropolitan area. All figures in Moroccan Dirhams (MAD).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Doctor General Practitioner Practice in Morocco Casablanca</dc:title>
  <dc:creator/>
  <dc:language>en</dc:language>
  <cp:keywords/>
  <dcterms:created xsi:type="dcterms:W3CDTF">2026-07-23T20:10:06Z</dcterms:created>
  <dcterms:modified xsi:type="dcterms:W3CDTF">2026-07-23T20:10:06Z</dcterms:modified>
</cp:coreProperties>
</file>

<file path=docProps/custom.xml><?xml version="1.0" encoding="utf-8"?>
<Properties xmlns="http://schemas.openxmlformats.org/officeDocument/2006/custom-properties" xmlns:vt="http://schemas.openxmlformats.org/officeDocument/2006/docPropsVTypes"/>
</file>