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w:t>
      </w:r>
      <w:r>
        <w:t xml:space="preserve"> </w:t>
      </w:r>
      <w:r>
        <w:t xml:space="preserve">Myanmar</w:t>
      </w:r>
      <w:r>
        <w:t xml:space="preserve"> </w:t>
      </w:r>
      <w:r>
        <w:t xml:space="preserve">Yangon</w:t>
      </w:r>
    </w:p>
    <w:bookmarkStart w:id="27" w:name="Xd170a8fddb9a82805e800c77826cd395bf6e9ac"/>
    <w:p>
      <w:pPr>
        <w:pStyle w:val="Heading1"/>
      </w:pPr>
      <w:r>
        <w:t xml:space="preserve">QUARTERLY SALES REPORT</w:t>
      </w:r>
      <w:r>
        <w:br/>
      </w:r>
      <w:r>
        <w:t xml:space="preserve">DOCTOR GENERAL PRACTITIONER SERVICES</w:t>
      </w:r>
      <w:r>
        <w:br/>
      </w:r>
      <w:r>
        <w:t xml:space="preserve">MAY - JULY 2023</w:t>
      </w:r>
    </w:p>
    <w:p>
      <w:pPr>
        <w:pStyle w:val="FirstParagraph"/>
      </w:pPr>
      <w:r>
        <w:rPr>
          <w:bCs/>
          <w:b/>
        </w:rPr>
        <w:t xml:space="preserve">Report Period:</w:t>
      </w:r>
      <w:r>
        <w:t xml:space="preserve"> </w:t>
      </w:r>
      <w:r>
        <w:t xml:space="preserve">April 1, 2023 - June 30, 2023 |</w:t>
      </w:r>
      <w:r>
        <w:t xml:space="preserve"> </w:t>
      </w:r>
      <w:r>
        <w:rPr>
          <w:bCs/>
          <w:b/>
        </w:rPr>
        <w:t xml:space="preserve">Prepared For:</w:t>
      </w:r>
      <w:r>
        <w:t xml:space="preserve"> </w:t>
      </w:r>
      <w:r>
        <w:t xml:space="preserve">Yangon Healthcare Management |</w:t>
      </w:r>
      <w:r>
        <w:t xml:space="preserve"> </w:t>
      </w:r>
      <w:r>
        <w:rPr>
          <w:bCs/>
          <w:b/>
        </w:rPr>
        <w:t xml:space="preserve">Date:</w:t>
      </w:r>
      <w:r>
        <w:t xml:space="preserve"> </w:t>
      </w:r>
      <w:r>
        <w:t xml:space="preserve">July 15, 2023</w:t>
      </w:r>
    </w:p>
    <w:p>
      <w:pPr>
        <w:pStyle w:val="BodyText"/>
      </w:pPr>
      <w:r>
        <w:t xml:space="preserve">This comprehensive</w:t>
      </w:r>
      <w:r>
        <w:t xml:space="preserve"> </w:t>
      </w:r>
      <w:r>
        <w:rPr>
          <w:iCs/>
          <w:i/>
        </w:rPr>
        <w:t xml:space="preserve">Sales Report</w:t>
      </w:r>
      <w:r>
        <w:t xml:space="preserve"> </w:t>
      </w:r>
      <w:r>
        <w:t xml:space="preserve">details the performance metrics of General Practitioner (GP) services across our primary care clinics in Yangon, Myanmar. The report analyzes patient acquisition, service utilization trends, and revenue streams specific to the Yangon market context where healthcare accessibility remains a critical public health focus.</w:t>
      </w:r>
    </w:p>
    <w:bookmarkStart w:id="20" w:name="executive-summary"/>
    <w:p>
      <w:pPr>
        <w:pStyle w:val="Heading2"/>
      </w:pPr>
      <w:r>
        <w:t xml:space="preserve">Executive Summary</w:t>
      </w:r>
    </w:p>
    <w:p>
      <w:pPr>
        <w:pStyle w:val="FirstParagraph"/>
      </w:pPr>
      <w:r>
        <w:t xml:space="preserve">The</w:t>
      </w:r>
      <w:r>
        <w:t xml:space="preserve"> </w:t>
      </w:r>
      <w:r>
        <w:rPr>
          <w:iCs/>
          <w:i/>
        </w:rPr>
        <w:t xml:space="preserve">Doctor General Practitioner</w:t>
      </w:r>
      <w:r>
        <w:t xml:space="preserve"> </w:t>
      </w:r>
      <w:r>
        <w:t xml:space="preserve">services in Myanmar Yangon achieved remarkable growth during Q2 2023, with total revenue increasing by 18.7% compared to the previous quarter. This performance significantly exceeds our regional benchmark of 12% growth for Yangon healthcare providers. The surge was driven by strategic expansion into underserved neighborhoods like Hlaing Tharyar and North Dagon, where we now serve over 45% of new patients through our mobile clinic initiatives. As Myanmar's economic center, Yangon continues to present unique opportunities in primary care access, particularly for the growing middle-class population seeking affordable quality healthcare.</w:t>
      </w:r>
    </w:p>
    <w:bookmarkEnd w:id="20"/>
    <w:bookmarkStart w:id="21" w:name="sales-performance-overview"/>
    <w:p>
      <w:pPr>
        <w:pStyle w:val="Heading2"/>
      </w:pPr>
      <w:r>
        <w:t xml:space="preserve">Sales Performance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 2023</w:t>
            </w:r>
          </w:p>
        </w:tc>
        <w:tc>
          <w:tcPr/>
          <w:p>
            <w:pPr>
              <w:pStyle w:val="Compact"/>
              <w:jc w:val="left"/>
            </w:pPr>
            <w:r>
              <w:t xml:space="preserve">Q2 2023</w:t>
            </w:r>
          </w:p>
        </w:tc>
        <w:tc>
          <w:tcPr/>
          <w:p>
            <w:pPr>
              <w:pStyle w:val="Compact"/>
              <w:jc w:val="left"/>
            </w:pPr>
            <w:r>
              <w:t xml:space="preserve">Change (%)</w:t>
            </w:r>
          </w:p>
        </w:tc>
      </w:tr>
      <w:tr>
        <w:tc>
          <w:tcPr/>
          <w:p>
            <w:pPr>
              <w:pStyle w:val="Compact"/>
              <w:jc w:val="left"/>
            </w:pPr>
            <w:r>
              <w:t xml:space="preserve">Total Patient Visits (Yangon)</w:t>
            </w:r>
          </w:p>
        </w:tc>
        <w:tc>
          <w:tcPr/>
          <w:p>
            <w:pPr>
              <w:pStyle w:val="Compact"/>
              <w:jc w:val="left"/>
            </w:pPr>
            <w:r>
              <w:t xml:space="preserve">4,850</w:t>
            </w:r>
          </w:p>
        </w:tc>
        <w:tc>
          <w:tcPr/>
          <w:p>
            <w:pPr>
              <w:pStyle w:val="Compact"/>
              <w:jc w:val="left"/>
            </w:pPr>
            <w:r>
              <w:t xml:space="preserve">5,762</w:t>
            </w:r>
          </w:p>
        </w:tc>
        <w:tc>
          <w:tcPr/>
          <w:p>
            <w:pPr>
              <w:pStyle w:val="Compact"/>
              <w:jc w:val="left"/>
            </w:pPr>
            <w:r>
              <w:t xml:space="preserve">+18.8%</w:t>
            </w:r>
          </w:p>
        </w:tc>
      </w:tr>
      <w:tr>
        <w:tc>
          <w:tcPr/>
          <w:p>
            <w:pPr>
              <w:pStyle w:val="Compact"/>
              <w:jc w:val="left"/>
            </w:pPr>
            <w:r>
              <w:t xml:space="preserve">Avg. Revenue Per Visit</w:t>
            </w:r>
          </w:p>
        </w:tc>
        <w:tc>
          <w:tcPr/>
          <w:p>
            <w:pPr>
              <w:pStyle w:val="Compact"/>
              <w:jc w:val="left"/>
            </w:pPr>
            <w:r>
              <w:t xml:space="preserve">MYR 32.50</w:t>
            </w:r>
          </w:p>
        </w:tc>
        <w:tc>
          <w:tcPr/>
          <w:p>
            <w:pPr>
              <w:pStyle w:val="Compact"/>
              <w:jc w:val="left"/>
            </w:pPr>
            <w:r>
              <w:t xml:space="preserve">MYR 34.75</w:t>
            </w:r>
          </w:p>
        </w:tc>
        <w:tc>
          <w:tcPr/>
          <w:p>
            <w:pPr>
              <w:pStyle w:val="Compact"/>
              <w:jc w:val="left"/>
            </w:pPr>
            <w:r>
              <w:t xml:space="preserve">+6.9%</w:t>
            </w:r>
          </w:p>
        </w:tc>
      </w:tr>
      <w:tr>
        <w:tc>
          <w:tcPr/>
          <w:p>
            <w:pPr>
              <w:pStyle w:val="Compact"/>
              <w:jc w:val="left"/>
            </w:pPr>
            <w:r>
              <w:t xml:space="preserve">Total Service Revenue (Yangon)</w:t>
            </w:r>
          </w:p>
        </w:tc>
        <w:tc>
          <w:tcPr/>
          <w:p>
            <w:pPr>
              <w:pStyle w:val="Compact"/>
              <w:jc w:val="left"/>
            </w:pPr>
            <w:r>
              <w:t xml:space="preserve">MYR 157,625</w:t>
            </w:r>
          </w:p>
        </w:tc>
        <w:tc>
          <w:tcPr/>
          <w:p>
            <w:pPr>
              <w:pStyle w:val="Compact"/>
              <w:jc w:val="left"/>
            </w:pPr>
            <w:r>
              <w:t xml:space="preserve">MYR 199,880</w:t>
            </w:r>
          </w:p>
        </w:tc>
        <w:tc>
          <w:tcPr/>
          <w:p>
            <w:pPr>
              <w:pStyle w:val="Compact"/>
              <w:jc w:val="left"/>
            </w:pPr>
            <w:r>
              <w:t xml:space="preserve">+26.8%</w:t>
            </w:r>
          </w:p>
        </w:tc>
      </w:tr>
      <w:tr>
        <w:tc>
          <w:tcPr/>
          <w:p>
            <w:pPr>
              <w:pStyle w:val="Compact"/>
              <w:jc w:val="left"/>
            </w:pPr>
            <w:r>
              <w:t xml:space="preserve">New Patient Acquisitions</w:t>
            </w:r>
          </w:p>
        </w:tc>
        <w:tc>
          <w:tcPr/>
          <w:p>
            <w:pPr>
              <w:pStyle w:val="Compact"/>
              <w:jc w:val="left"/>
            </w:pPr>
            <w:r>
              <w:t xml:space="preserve">720</w:t>
            </w:r>
          </w:p>
        </w:tc>
        <w:tc>
          <w:tcPr/>
          <w:p>
            <w:pPr>
              <w:pStyle w:val="Compact"/>
              <w:jc w:val="left"/>
            </w:pPr>
            <w:r>
              <w:t xml:space="preserve">943</w:t>
            </w:r>
          </w:p>
        </w:tc>
        <w:tc>
          <w:tcPr/>
          <w:p>
            <w:pPr>
              <w:pStyle w:val="Compact"/>
              <w:jc w:val="left"/>
            </w:pPr>
            <w:r>
              <w:t xml:space="preserve">+31.0%</w:t>
            </w:r>
          </w:p>
        </w:tc>
      </w:tr>
      <w:tr>
        <w:tc>
          <w:tcPr/>
          <w:p>
            <w:pPr>
              <w:pStyle w:val="Compact"/>
              <w:jc w:val="left"/>
            </w:pPr>
            <w:r>
              <w:t xml:space="preserve">Patient Retention Rate (6+ Visits)</w:t>
            </w:r>
          </w:p>
        </w:tc>
        <w:tc>
          <w:tcPr/>
          <w:p>
            <w:pPr>
              <w:pStyle w:val="Compact"/>
              <w:jc w:val="left"/>
            </w:pPr>
            <w:r>
              <w:t xml:space="preserve">68%</w:t>
            </w:r>
          </w:p>
        </w:tc>
        <w:tc>
          <w:tcPr/>
          <w:p>
            <w:pPr>
              <w:pStyle w:val="Compact"/>
              <w:jc w:val="left"/>
            </w:pPr>
            <w:r>
              <w:t xml:space="preserve">74%</w:t>
            </w:r>
          </w:p>
        </w:tc>
        <w:tc>
          <w:tcPr/>
          <w:p>
            <w:pPr>
              <w:pStyle w:val="Compact"/>
              <w:jc w:val="left"/>
            </w:pPr>
            <w:r>
              <w:t xml:space="preserve">+6.0%</w:t>
            </w:r>
          </w:p>
        </w:tc>
      </w:tr>
    </w:tbl>
    <w:bookmarkEnd w:id="21"/>
    <w:bookmarkStart w:id="22" w:name="service-revenue-breakdown-by-specialty"/>
    <w:p>
      <w:pPr>
        <w:pStyle w:val="Heading2"/>
      </w:pPr>
      <w:r>
        <w:t xml:space="preserve">Service Revenue Breakdown by Specialty</w:t>
      </w:r>
    </w:p>
    <w:p>
      <w:pPr>
        <w:pStyle w:val="FirstParagraph"/>
      </w:pPr>
      <w:r>
        <w:t xml:space="preserve">The</w:t>
      </w:r>
      <w:r>
        <w:t xml:space="preserve"> </w:t>
      </w:r>
      <w:r>
        <w:rPr>
          <w:iCs/>
          <w:i/>
        </w:rPr>
        <w:t xml:space="preserve">Doctor General Practitioner</w:t>
      </w:r>
      <w:r>
        <w:t xml:space="preserve"> </w:t>
      </w:r>
      <w:r>
        <w:t xml:space="preserve">model in Myanmar Yangon demonstrates strong demand across core service categories. Below is the revenue contribution breakdown for our Yangon clinics: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 of Total Revenue</w:t>
            </w:r>
          </w:p>
        </w:tc>
        <w:tc>
          <w:tcPr/>
          <w:p>
            <w:pPr>
              <w:pStyle w:val="Compact"/>
              <w:jc w:val="left"/>
            </w:pPr>
            <w:r>
              <w:t xml:space="preserve">Growth vs Q1 2023</w:t>
            </w:r>
          </w:p>
        </w:tc>
        <w:tc>
          <w:tcPr/>
          <w:p>
            <w:pPr>
              <w:pStyle w:val="Compact"/>
              <w:jc w:val="left"/>
            </w:pPr>
            <w:r>
              <w:t xml:space="preserve">Yangon Market Insight</w:t>
            </w:r>
          </w:p>
        </w:tc>
      </w:tr>
      <w:tr>
        <w:tc>
          <w:tcPr/>
          <w:p>
            <w:pPr>
              <w:pStyle w:val="Compact"/>
              <w:jc w:val="left"/>
            </w:pPr>
            <w:r>
              <w:t xml:space="preserve">General Consultations (In-Person)</w:t>
            </w:r>
          </w:p>
        </w:tc>
        <w:tc>
          <w:tcPr/>
          <w:p>
            <w:pPr>
              <w:pStyle w:val="Compact"/>
              <w:jc w:val="left"/>
            </w:pPr>
            <w:r>
              <w:t xml:space="preserve">48%</w:t>
            </w:r>
          </w:p>
        </w:tc>
        <w:tc>
          <w:tcPr/>
          <w:p>
            <w:pPr>
              <w:pStyle w:val="Compact"/>
              <w:jc w:val="left"/>
            </w:pPr>
            <w:r>
              <w:t xml:space="preserve">+22.1%</w:t>
            </w:r>
          </w:p>
        </w:tc>
        <w:tc>
          <w:tcPr/>
          <w:p>
            <w:pPr>
              <w:pStyle w:val="Compact"/>
              <w:jc w:val="left"/>
            </w:pPr>
            <w:r>
              <w:t xml:space="preserve">Burst in demand after Yangon's monsoon season health alerts (dengue, malaria).</w:t>
            </w:r>
          </w:p>
        </w:tc>
      </w:tr>
      <w:tr>
        <w:tc>
          <w:tcPr/>
          <w:p>
            <w:pPr>
              <w:pStyle w:val="Compact"/>
              <w:jc w:val="left"/>
            </w:pPr>
            <w:r>
              <w:t xml:space="preserve">Telemedicine Consultations</w:t>
            </w:r>
          </w:p>
        </w:tc>
        <w:tc>
          <w:tcPr/>
          <w:p>
            <w:pPr>
              <w:pStyle w:val="Compact"/>
              <w:jc w:val="left"/>
            </w:pPr>
            <w:r>
              <w:t xml:space="preserve">32%</w:t>
            </w:r>
          </w:p>
        </w:tc>
        <w:tc>
          <w:tcPr/>
          <w:p>
            <w:pPr>
              <w:pStyle w:val="Compact"/>
              <w:jc w:val="left"/>
            </w:pPr>
            <w:r>
              <w:t xml:space="preserve">+45.7%</w:t>
            </w:r>
          </w:p>
        </w:tc>
        <w:tc>
          <w:tcPr/>
          <w:p>
            <w:pPr>
              <w:pStyle w:val="Compact"/>
              <w:jc w:val="left"/>
            </w:pPr>
            <w:r>
              <w:t xml:space="preserve">Growing adoption among working professionals in Sanchaung and Bahan districts.</w:t>
            </w:r>
          </w:p>
        </w:tc>
      </w:tr>
      <w:tr>
        <w:tc>
          <w:tcPr/>
          <w:p>
            <w:pPr>
              <w:pStyle w:val="Compact"/>
              <w:jc w:val="left"/>
            </w:pPr>
            <w:r>
              <w:t xml:space="preserve">Chronic Disease Management (Diabetes, Hypertension)</w:t>
            </w:r>
          </w:p>
        </w:tc>
        <w:tc>
          <w:tcPr/>
          <w:p>
            <w:pPr>
              <w:pStyle w:val="Compact"/>
              <w:jc w:val="left"/>
            </w:pPr>
            <w:r>
              <w:t xml:space="preserve">15%</w:t>
            </w:r>
          </w:p>
        </w:tc>
        <w:tc>
          <w:tcPr/>
          <w:p>
            <w:pPr>
              <w:pStyle w:val="Compact"/>
              <w:jc w:val="left"/>
            </w:pPr>
            <w:r>
              <w:t xml:space="preserve">+12.3%</w:t>
            </w:r>
          </w:p>
        </w:tc>
        <w:tc>
          <w:tcPr/>
          <w:p>
            <w:pPr>
              <w:pStyle w:val="Compact"/>
              <w:jc w:val="left"/>
            </w:pPr>
            <w:r>
              <w:t xml:space="preserve">Government health campaigns increased screening awareness citywide.</w:t>
            </w:r>
          </w:p>
        </w:tc>
      </w:tr>
      <w:tr>
        <w:tc>
          <w:tcPr/>
          <w:p>
            <w:pPr>
              <w:pStyle w:val="Compact"/>
              <w:jc w:val="left"/>
            </w:pPr>
            <w:r>
              <w:t xml:space="preserve">Vaccination Services</w:t>
            </w:r>
          </w:p>
        </w:tc>
        <w:tc>
          <w:tcPr/>
          <w:p>
            <w:pPr>
              <w:pStyle w:val="Compact"/>
              <w:jc w:val="left"/>
            </w:pPr>
            <w:r>
              <w:t xml:space="preserve">5%</w:t>
            </w:r>
          </w:p>
        </w:tc>
        <w:tc>
          <w:tcPr/>
          <w:p>
            <w:pPr>
              <w:pStyle w:val="Compact"/>
              <w:jc w:val="left"/>
            </w:pPr>
            <w:r>
              <w:t xml:space="preserve">+8.9%</w:t>
            </w:r>
          </w:p>
        </w:tc>
        <w:tc>
          <w:tcPr/>
          <w:p>
            <w:pPr>
              <w:pStyle w:val="Compact"/>
              <w:jc w:val="left"/>
            </w:pPr>
            <w:r>
              <w:t xml:space="preserve">Boosted by national childhood immunization drive in Yangon Region.</w:t>
            </w:r>
          </w:p>
        </w:tc>
      </w:tr>
    </w:tbl>
    <w:bookmarkEnd w:id="22"/>
    <w:bookmarkStart w:id="24" w:name="yangon-specific-market-analysis"/>
    <w:p>
      <w:pPr>
        <w:pStyle w:val="Heading2"/>
      </w:pPr>
      <w:r>
        <w:t xml:space="preserve">Yangon-Specific Market Analysis</w:t>
      </w:r>
    </w:p>
    <w:p>
      <w:pPr>
        <w:pStyle w:val="FirstParagraph"/>
      </w:pPr>
      <w:r>
        <w:t xml:space="preserve">The success of our Doctor General Practitioner services in Myanmar Yangon is deeply rooted in local market dynamics. With over 6 million residents and limited primary care infrastructure outside central hospitals, our network has strategically positioned itself to serve the gap between government facilities and private clinics. Key factors driving sales performance include:</w:t>
      </w:r>
    </w:p>
    <w:p>
      <w:pPr>
        <w:numPr>
          <w:ilvl w:val="0"/>
          <w:numId w:val="1001"/>
        </w:numPr>
        <w:pStyle w:val="Compact"/>
      </w:pPr>
      <w:r>
        <w:rPr>
          <w:bCs/>
          <w:b/>
        </w:rPr>
        <w:t xml:space="preserve">Price Sensitivity Management:</w:t>
      </w:r>
      <w:r>
        <w:t xml:space="preserve"> </w:t>
      </w:r>
      <w:r>
        <w:t xml:space="preserve">All services priced below MYR 40 (approx. USD 25) to align with Yangon's middle-income patient affordability thresholds.</w:t>
      </w:r>
    </w:p>
    <w:p>
      <w:pPr>
        <w:numPr>
          <w:ilvl w:val="0"/>
          <w:numId w:val="1001"/>
        </w:numPr>
        <w:pStyle w:val="Compact"/>
      </w:pPr>
      <w:r>
        <w:rPr>
          <w:bCs/>
          <w:b/>
        </w:rPr>
        <w:t xml:space="preserve">Cultural Context Integration:</w:t>
      </w:r>
      <w:r>
        <w:t xml:space="preserve"> </w:t>
      </w:r>
      <w:r>
        <w:t xml:space="preserve">Staff trained in Myanmar cultural communication norms, particularly for elderly patients who dominate our consultation base.</w:t>
      </w:r>
    </w:p>
    <w:p>
      <w:pPr>
        <w:numPr>
          <w:ilvl w:val="0"/>
          <w:numId w:val="1001"/>
        </w:numPr>
        <w:pStyle w:val="Compact"/>
      </w:pPr>
      <w:r>
        <w:rPr>
          <w:bCs/>
          <w:b/>
        </w:rPr>
        <w:t xml:space="preserve">Mobile Clinic Expansion:</w:t>
      </w:r>
      <w:r>
        <w:t xml:space="preserve"> </w:t>
      </w:r>
      <w:r>
        <w:t xml:space="preserve">Deployment of two mobile units serving township health centers in North Okkalapa and Tamwe - resulting in 12% patient acquisition growth specifically from these underserved zones.</w:t>
      </w:r>
    </w:p>
    <w:p>
      <w:pPr>
        <w:numPr>
          <w:ilvl w:val="0"/>
          <w:numId w:val="1001"/>
        </w:numPr>
        <w:pStyle w:val="Compact"/>
      </w:pPr>
      <w:r>
        <w:rPr>
          <w:bCs/>
          <w:b/>
        </w:rPr>
        <w:t xml:space="preserve">Digital Adoption:</w:t>
      </w:r>
      <w:r>
        <w:t xml:space="preserve"> </w:t>
      </w:r>
      <w:r>
        <w:t xml:space="preserve">Partnership with local payment platforms (Wave Money, KBZ Pay) has increased telemedicine conversion by 37% among Yangon's digitally active youth demographic.</w:t>
      </w:r>
    </w:p>
    <w:bookmarkStart w:id="23" w:name="critical-yangon-market-insight"/>
    <w:p>
      <w:pPr>
        <w:pStyle w:val="Heading3"/>
      </w:pPr>
      <w:r>
        <w:t xml:space="preserve">Critical Yangon Market Insight</w:t>
      </w:r>
    </w:p>
    <w:p>
      <w:pPr>
        <w:pStyle w:val="FirstParagraph"/>
      </w:pPr>
      <w:r>
        <w:t xml:space="preserve">Our sales data reveals that patient retention correlates strongly with culturally competent care. In Myanmar Yangon, where family referrals drive healthcare decisions, our GP clinics maintaining Burmese language support and traditional medicine consultation options have 22% higher patient loyalty than competitors. This cultural adaptation is non-negotiable for sustainable growth in the Yangon market.</w:t>
      </w:r>
    </w:p>
    <w:bookmarkEnd w:id="23"/>
    <w:bookmarkEnd w:id="24"/>
    <w:bookmarkStart w:id="25" w:name="challenges-strategic-opportunities"/>
    <w:p>
      <w:pPr>
        <w:pStyle w:val="Heading2"/>
      </w:pPr>
      <w:r>
        <w:t xml:space="preserve">Challenges &amp; Strategic Opportunities</w:t>
      </w:r>
    </w:p>
    <w:p>
      <w:pPr>
        <w:pStyle w:val="FirstParagraph"/>
      </w:pPr>
      <w:r>
        <w:t xml:space="preserve">While results are promising, two challenges require immediate attention to maintain momentum in Myanmar Yangon's competitive healthcare landscape:</w:t>
      </w:r>
    </w:p>
    <w:p>
      <w:pPr>
        <w:numPr>
          <w:ilvl w:val="0"/>
          <w:numId w:val="1002"/>
        </w:numPr>
        <w:pStyle w:val="Compact"/>
      </w:pPr>
      <w:r>
        <w:rPr>
          <w:bCs/>
          <w:b/>
        </w:rPr>
        <w:t xml:space="preserve">Supply Chain Constraints:</w:t>
      </w:r>
      <w:r>
        <w:t xml:space="preserve"> </w:t>
      </w:r>
      <w:r>
        <w:t xml:space="preserve">Frequent import delays for essential medicines (notably hypertension drugs) during Yangon's rainy season reduced service availability by 14% in June. Solution: Partnering with local pharmaceutical distributor "MyanMed" to establish emergency stockpiles at our Yangon clinics.</w:t>
      </w:r>
    </w:p>
    <w:p>
      <w:pPr>
        <w:numPr>
          <w:ilvl w:val="0"/>
          <w:numId w:val="1002"/>
        </w:numPr>
        <w:pStyle w:val="Compact"/>
      </w:pPr>
      <w:r>
        <w:rPr>
          <w:bCs/>
          <w:b/>
        </w:rPr>
        <w:t xml:space="preserve">Competition Pressure:</w:t>
      </w:r>
      <w:r>
        <w:t xml:space="preserve"> </w:t>
      </w:r>
      <w:r>
        <w:t xml:space="preserve">New private clinics entering South Okkalapa district have initiated price wars, threatening our MYR 35 consultation fee model. Strategic response: Introducing tiered service packages (Basic/Standard/Premium) to capture diverse income segments without devaluing core services.</w:t>
      </w:r>
    </w:p>
    <w:p>
      <w:pPr>
        <w:pStyle w:val="FirstParagraph"/>
      </w:pPr>
      <w:r>
        <w:t xml:space="preserve">Emerging opportunities include:</w:t>
      </w:r>
    </w:p>
    <w:p>
      <w:pPr>
        <w:numPr>
          <w:ilvl w:val="0"/>
          <w:numId w:val="1003"/>
        </w:numPr>
        <w:pStyle w:val="Compact"/>
      </w:pPr>
      <w:r>
        <w:t xml:space="preserve">Government's "Health for All" initiative creating demand for GP clinics in 5 new township health centers</w:t>
      </w:r>
    </w:p>
    <w:p>
      <w:pPr>
        <w:numPr>
          <w:ilvl w:val="0"/>
          <w:numId w:val="1003"/>
        </w:numPr>
        <w:pStyle w:val="Compact"/>
      </w:pPr>
      <w:r>
        <w:t xml:space="preserve">Rising middle-class interest in preventive care (32% of new Yangon patients now seek wellness checkups)</w:t>
      </w:r>
    </w:p>
    <w:p>
      <w:pPr>
        <w:numPr>
          <w:ilvl w:val="0"/>
          <w:numId w:val="1003"/>
        </w:numPr>
        <w:pStyle w:val="Compact"/>
      </w:pPr>
      <w:r>
        <w:t xml:space="preserve">Partnerships with Yangon-based corporate HR departments for employee health programs</w:t>
      </w:r>
    </w:p>
    <w:bookmarkEnd w:id="25"/>
    <w:bookmarkStart w:id="26" w:name="conclusion-recommendations"/>
    <w:p>
      <w:pPr>
        <w:pStyle w:val="Heading2"/>
      </w:pPr>
      <w:r>
        <w:t xml:space="preserve">Conclusion &amp; Recommendations</w:t>
      </w:r>
    </w:p>
    <w:p>
      <w:pPr>
        <w:pStyle w:val="FirstParagraph"/>
      </w:pPr>
      <w:r>
        <w:t xml:space="preserve">This quarterly Sales Report confirms that the Doctor General Practitioner model has become a cornerstone of accessible healthcare in Myanmar Yangon. The 18.7% patient growth and 26.8% revenue increase demonstrate strong market validation for our approach tailored to Yangon's unique socioeconomic context.</w:t>
      </w:r>
    </w:p>
    <w:p>
      <w:pPr>
        <w:pStyle w:val="BodyText"/>
      </w:pPr>
      <w:r>
        <w:rPr>
          <w:bCs/>
          <w:b/>
        </w:rPr>
        <w:t xml:space="preserve">Strategic Recommendations for Q3 2023:</w:t>
      </w:r>
    </w:p>
    <w:p>
      <w:pPr>
        <w:numPr>
          <w:ilvl w:val="0"/>
          <w:numId w:val="1004"/>
        </w:numPr>
        <w:pStyle w:val="Compact"/>
      </w:pPr>
      <w:r>
        <w:t xml:space="preserve">Expand mobile clinic operations to five new townships in Yangon (Bahan, Dagon, Mingaladon, Hlaing, Shwepyithay) targeting 50% of new patient growth</w:t>
      </w:r>
    </w:p>
    <w:p>
      <w:pPr>
        <w:numPr>
          <w:ilvl w:val="0"/>
          <w:numId w:val="1004"/>
        </w:numPr>
        <w:pStyle w:val="Compact"/>
      </w:pPr>
      <w:r>
        <w:t xml:space="preserve">Launch "Family Health Packages" bundling consultations + vaccinations at 15% discount - aligned with Yangon's family-oriented healthcare culture</w:t>
      </w:r>
    </w:p>
    <w:p>
      <w:pPr>
        <w:numPr>
          <w:ilvl w:val="0"/>
          <w:numId w:val="1004"/>
        </w:numPr>
        <w:pStyle w:val="Compact"/>
      </w:pPr>
      <w:r>
        <w:t xml:space="preserve">Develop telemedicine training programs for rural Yangon health workers to extend our service reach beyond the city limits</w:t>
      </w:r>
    </w:p>
    <w:p>
      <w:pPr>
        <w:pStyle w:val="FirstParagraph"/>
      </w:pPr>
      <w:r>
        <w:t xml:space="preserve">The future of primary care in Myanmar Yangon hinges on maintaining affordable, culturally responsive Doctor General Practitioner services. As this Sales Report demonstrates, our strategic focus on patient retention through quality care - not just acquisition - has positioned us for sustained growth. We project 25% revenue growth for Q3 by implementing these recommendations, further solidifying our role as Yangon's trusted healthcare partner.</w:t>
      </w:r>
    </w:p>
    <w:p>
      <w:pPr>
        <w:pStyle w:val="BodyText"/>
      </w:pPr>
      <w:r>
        <w:t xml:space="preserve">CONFIDENTIAL: This Sales Report is for internal use by Yangon Healthcare Management. Distribution prohibited without authorization from Myanmar Regional Operations Director.</w:t>
      </w:r>
    </w:p>
    <w:p>
      <w:pPr>
        <w:pStyle w:val="BodyText"/>
      </w:pPr>
      <w:r>
        <w:t xml:space="preserve">Page 1 of 1 | Prepared by: Primary Care Analytics Team | Date: July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Doctor General Practitioner Services - Myanmar Yangon</dc:title>
  <dc:creator/>
  <dc:language>en</dc:language>
  <cp:keywords/>
  <dcterms:created xsi:type="dcterms:W3CDTF">2026-07-22T15:36:32Z</dcterms:created>
  <dcterms:modified xsi:type="dcterms:W3CDTF">2026-07-22T15:36:32Z</dcterms:modified>
</cp:coreProperties>
</file>

<file path=docProps/custom.xml><?xml version="1.0" encoding="utf-8"?>
<Properties xmlns="http://schemas.openxmlformats.org/officeDocument/2006/custom-properties" xmlns:vt="http://schemas.openxmlformats.org/officeDocument/2006/docPropsVTypes"/>
</file>