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9" w:name="Xb783022d2e85858c97f6754fbaad3f3312ce19a"/>
    <w:p>
      <w:pPr>
        <w:pStyle w:val="Heading1"/>
      </w:pPr>
      <w:r>
        <w:t xml:space="preserve">Comprehensive Sales Report: Doctor General Practitioner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Market Analysis Division, Netherlands Health Authority</w:t>
      </w:r>
      <w:r>
        <w:br/>
      </w:r>
      <w:r>
        <w:rPr>
          <w:bCs/>
          <w:b/>
        </w:rPr>
        <w:t xml:space="preserve">Report Type:</w:t>
      </w:r>
      <w:r>
        <w:t xml:space="preserve"> </w:t>
      </w:r>
      <w:r>
        <w:t xml:space="preserve">Strategic Market Assessment - Doctor General Practitioner Services</w:t>
      </w:r>
    </w:p>
    <w:bookmarkStart w:id="20" w:name="i.-executive-summary"/>
    <w:p>
      <w:pPr>
        <w:pStyle w:val="Heading2"/>
      </w:pPr>
      <w:r>
        <w:t xml:space="preserve">I. Executive Summary</w:t>
      </w:r>
    </w:p>
    <w:p>
      <w:pPr>
        <w:pStyle w:val="FirstParagraph"/>
      </w:pPr>
      <w:r>
        <w:t xml:space="preserve">This report provides a detailed analysis of the Doctor General Practitioner (GP) service landscape within Amsterdam, Netherlands. It is critical to clarify that this document does not represent commercial "sales" data in the traditional business sense; rather, it analyzes patient engagement metrics, service utilization patterns, and practice performance indicators reflecting the unique Dutch healthcare model. In Amsterdam's context (population: 900,000 urban residents + 2.5 million metro area), General Practitioners operate as primary care gatekeepers under a mandatory insurance system (Zorgverzekeringswet), making their service delivery central to the national healthcare ecosystem. This report demonstrates how Amsterdam GPs effectively manage patient flow, preventive care initiatives, and digital integration – key performance indicators replacing conventional sales metrics.</w:t>
      </w:r>
    </w:p>
    <w:bookmarkEnd w:id="20"/>
    <w:bookmarkStart w:id="21" w:name="Xfbb9cfe871b26c61990cd3865ad8e78753f57bb"/>
    <w:p>
      <w:pPr>
        <w:pStyle w:val="Heading2"/>
      </w:pPr>
      <w:r>
        <w:t xml:space="preserve">II. Market Context: Doctor General Practitioner in Amsterdam</w:t>
      </w:r>
    </w:p>
    <w:p>
      <w:pPr>
        <w:pStyle w:val="FirstParagraph"/>
      </w:pPr>
      <w:r>
        <w:t xml:space="preserve">Amsterdam's Doctor General Practitioner network serves a highly diverse population with specific healthcare demands. The city's 450+ GP practices (serving ~90% of residents) operate under strict Dutch regulations where fees are standardized by the Healthcare Authority (Zorginstituut Nederland). Unlike commercial sales, GP "transactions" involve:</w:t>
      </w:r>
    </w:p>
    <w:p>
      <w:pPr>
        <w:numPr>
          <w:ilvl w:val="0"/>
          <w:numId w:val="1001"/>
        </w:numPr>
        <w:pStyle w:val="Compact"/>
      </w:pPr>
      <w:r>
        <w:t xml:space="preserve">Consultation bookings (average 12-15 per day per practice)</w:t>
      </w:r>
    </w:p>
    <w:p>
      <w:pPr>
        <w:numPr>
          <w:ilvl w:val="0"/>
          <w:numId w:val="1001"/>
        </w:numPr>
        <w:pStyle w:val="Compact"/>
      </w:pPr>
      <w:r>
        <w:t xml:space="preserve">Preventive care participation (e.g., flu vaccinations: 68% uptake in Amsterdam seniors)</w:t>
      </w:r>
    </w:p>
    <w:p>
      <w:pPr>
        <w:numPr>
          <w:ilvl w:val="0"/>
          <w:numId w:val="1001"/>
        </w:numPr>
        <w:pStyle w:val="Compact"/>
      </w:pPr>
      <w:r>
        <w:t xml:space="preserve">Digital health tool adoption rates (e.g., ZorgDomein portal usage: 87% of practices)</w:t>
      </w:r>
    </w:p>
    <w:bookmarkEnd w:id="21"/>
    <w:bookmarkStart w:id="22" w:name="X067aed48f656f78625e94c777d5904ec39758cc"/>
    <w:p>
      <w:pPr>
        <w:pStyle w:val="Heading2"/>
      </w:pPr>
      <w:r>
        <w:t xml:space="preserve">III. Service Utilization Metrics (Amsterdam Focus)</w:t>
      </w:r>
    </w:p>
    <w:p>
      <w:pPr>
        <w:pStyle w:val="FirstParagraph"/>
      </w:pPr>
      <w:r>
        <w:t xml:space="preserve">The following metrics reflect the operational success of Doctor General Practitioner services, directly correlating with Amsterdam's urban healthcare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Amsterdam Rate (2023)</w:t>
            </w:r>
          </w:p>
        </w:tc>
        <w:tc>
          <w:tcPr/>
          <w:p>
            <w:pPr>
              <w:pStyle w:val="Compact"/>
              <w:jc w:val="left"/>
            </w:pPr>
            <w:r>
              <w:t xml:space="preserve">Netherlands Avg.</w:t>
            </w:r>
          </w:p>
        </w:tc>
        <w:tc>
          <w:tcPr/>
          <w:p>
            <w:pPr>
              <w:pStyle w:val="Compact"/>
              <w:jc w:val="left"/>
            </w:pPr>
            <w:r>
              <w:t xml:space="preserve">Trend (vs. 2021)</w:t>
            </w:r>
          </w:p>
        </w:tc>
      </w:tr>
      <w:tr>
        <w:tc>
          <w:tcPr/>
          <w:p>
            <w:pPr>
              <w:pStyle w:val="Compact"/>
              <w:jc w:val="left"/>
            </w:pPr>
            <w:r>
              <w:t xml:space="preserve">Patient Consultation Volume/Practice/Week</w:t>
            </w:r>
          </w:p>
        </w:tc>
        <w:tc>
          <w:tcPr/>
          <w:p>
            <w:pPr>
              <w:pStyle w:val="Compact"/>
              <w:jc w:val="left"/>
            </w:pPr>
            <w:r>
              <w:t xml:space="preserve">78.5</w:t>
            </w:r>
          </w:p>
        </w:tc>
        <w:tc>
          <w:tcPr/>
          <w:p>
            <w:pPr>
              <w:pStyle w:val="Compact"/>
              <w:jc w:val="left"/>
            </w:pPr>
            <w:r>
              <w:t xml:space="preserve">74.3</w:t>
            </w:r>
          </w:p>
        </w:tc>
        <w:tc>
          <w:tcPr/>
          <w:p>
            <w:pPr>
              <w:pStyle w:val="Compact"/>
              <w:jc w:val="left"/>
            </w:pPr>
            <w:r>
              <w:t xml:space="preserve">+6.5%</w:t>
            </w:r>
          </w:p>
        </w:tc>
      </w:tr>
      <w:tr>
        <w:tc>
          <w:tcPr/>
          <w:p>
            <w:pPr>
              <w:pStyle w:val="Compact"/>
              <w:jc w:val="left"/>
            </w:pPr>
            <w:r>
              <w:t xml:space="preserve">Digital Health Record Access Rate (Patients)</w:t>
            </w:r>
          </w:p>
        </w:tc>
        <w:tc>
          <w:tcPr/>
          <w:p>
            <w:pPr>
              <w:pStyle w:val="Compact"/>
              <w:jc w:val="left"/>
            </w:pPr>
            <w:r>
              <w:t xml:space="preserve">92%</w:t>
            </w:r>
          </w:p>
        </w:tc>
        <w:tc>
          <w:tcPr/>
          <w:p>
            <w:pPr>
              <w:pStyle w:val="Compact"/>
              <w:jc w:val="left"/>
            </w:pPr>
            <w:r>
              <w:t xml:space="preserve">88%</w:t>
            </w:r>
          </w:p>
        </w:tc>
        <w:tc>
          <w:tcPr/>
          <w:p>
            <w:pPr>
              <w:pStyle w:val="Compact"/>
              <w:jc w:val="left"/>
            </w:pPr>
            <w:r>
              <w:t xml:space="preserve">+4.0% ▲</w:t>
            </w:r>
          </w:p>
        </w:tc>
      </w:tr>
      <w:tr>
        <w:tc>
          <w:tcPr/>
          <w:p>
            <w:pPr>
              <w:pStyle w:val="Compact"/>
              <w:jc w:val="left"/>
            </w:pPr>
            <w:r>
              <w:t xml:space="preserve">Chronic Disease Management Compliance</w:t>
            </w:r>
          </w:p>
        </w:tc>
        <w:tc>
          <w:tcPr/>
          <w:p>
            <w:pPr>
              <w:pStyle w:val="Compact"/>
              <w:jc w:val="left"/>
            </w:pPr>
            <w:r>
              <w:t xml:space="preserve">76%</w:t>
            </w:r>
          </w:p>
        </w:tc>
        <w:tc>
          <w:tcPr/>
          <w:p>
            <w:pPr>
              <w:pStyle w:val="Compact"/>
              <w:jc w:val="left"/>
            </w:pPr>
            <w:r>
              <w:t xml:space="preserve">72%</w:t>
            </w:r>
          </w:p>
        </w:tc>
        <w:tc>
          <w:tcPr/>
          <w:p>
            <w:pPr>
              <w:pStyle w:val="Compact"/>
              <w:jc w:val="left"/>
            </w:pPr>
            <w:r>
              <w:t xml:space="preserve">+4.0% ▲</w:t>
            </w:r>
          </w:p>
        </w:tc>
      </w:tr>
      <w:tr>
        <w:tc>
          <w:tcPr/>
          <w:p>
            <w:pPr>
              <w:pStyle w:val="Compact"/>
              <w:jc w:val="left"/>
            </w:pPr>
            <w:r>
              <w:t xml:space="preserve">New Patient Registration Rate (Annual)</w:t>
            </w:r>
          </w:p>
        </w:tc>
        <w:tc>
          <w:tcPr/>
          <w:p>
            <w:pPr>
              <w:pStyle w:val="Compact"/>
              <w:jc w:val="left"/>
            </w:pPr>
            <w:r>
              <w:t xml:space="preserve">18.5%</w:t>
            </w:r>
          </w:p>
        </w:tc>
        <w:tc>
          <w:tcPr/>
          <w:p>
            <w:pPr>
              <w:pStyle w:val="Compact"/>
              <w:jc w:val="left"/>
            </w:pPr>
            <w:r>
              <w:t xml:space="preserve">15.2%</w:t>
            </w:r>
          </w:p>
        </w:tc>
        <w:tc>
          <w:tcPr/>
          <w:p>
            <w:pPr>
              <w:pStyle w:val="Compact"/>
              <w:jc w:val="left"/>
            </w:pPr>
            <w:r>
              <w:t xml:space="preserve">+3.3% ▲</w:t>
            </w:r>
          </w:p>
        </w:tc>
      </w:tr>
    </w:tbl>
    <w:p>
      <w:pPr>
        <w:pStyle w:val="BodyText"/>
      </w:pPr>
      <w:r>
        <w:rPr>
          <w:iCs/>
          <w:i/>
        </w:rPr>
        <w:t xml:space="preserve">Note:</w:t>
      </w:r>
      <w:r>
        <w:t xml:space="preserve"> </w:t>
      </w:r>
      <w:r>
        <w:t xml:space="preserve">These metrics demonstrate Amsterdam's GP practices leading in digital integration and chronic care management – critical success factors for Doctor General Practitioner services in a dense urban setting.</w:t>
      </w:r>
    </w:p>
    <w:bookmarkEnd w:id="22"/>
    <w:bookmarkStart w:id="25" w:name="X5890dd11eba47a4e185a46c98c63d281cd65ec2"/>
    <w:p>
      <w:pPr>
        <w:pStyle w:val="Heading2"/>
      </w:pPr>
      <w:r>
        <w:t xml:space="preserve">IV. Amsterdam-Specific Challenges &amp; Solutions</w:t>
      </w:r>
    </w:p>
    <w:p>
      <w:pPr>
        <w:pStyle w:val="FirstParagraph"/>
      </w:pPr>
      <w:r>
        <w:t xml:space="preserve">Amsterdam's unique environment creates distinct demands for the Doctor General Practitioner role:</w:t>
      </w:r>
    </w:p>
    <w:bookmarkStart w:id="23" w:name="Xcf91e343baba8cdc22f22593ad6e3747305a609"/>
    <w:p>
      <w:pPr>
        <w:pStyle w:val="Heading3"/>
      </w:pPr>
      <w:r>
        <w:t xml:space="preserve">A. Multilingual Patient Base (25% non-Dutch speaking)</w:t>
      </w:r>
    </w:p>
    <w:p>
      <w:pPr>
        <w:pStyle w:val="FirstParagraph"/>
      </w:pPr>
      <w:r>
        <w:t xml:space="preserve">GP practices in Amsterdam report 47% of consultations involve language barriers. Successful practices now integrate:</w:t>
      </w:r>
    </w:p>
    <w:p>
      <w:pPr>
        <w:numPr>
          <w:ilvl w:val="0"/>
          <w:numId w:val="1002"/>
        </w:numPr>
        <w:pStyle w:val="Compact"/>
      </w:pPr>
      <w:r>
        <w:t xml:space="preserve">Dedicated multilingual practice staff (68% adoption rate)</w:t>
      </w:r>
    </w:p>
    <w:p>
      <w:pPr>
        <w:numPr>
          <w:ilvl w:val="0"/>
          <w:numId w:val="1002"/>
        </w:numPr>
        <w:pStyle w:val="Compact"/>
      </w:pPr>
      <w:r>
        <w:t xml:space="preserve">AI translation tools during consultations (e.g., ZorgDomein Translate)</w:t>
      </w:r>
    </w:p>
    <w:p>
      <w:pPr>
        <w:numPr>
          <w:ilvl w:val="0"/>
          <w:numId w:val="1002"/>
        </w:numPr>
        <w:pStyle w:val="Compact"/>
      </w:pPr>
      <w:r>
        <w:t xml:space="preserve">Collaboration with local migrant health organizations</w:t>
      </w:r>
    </w:p>
    <w:bookmarkEnd w:id="23"/>
    <w:bookmarkStart w:id="24" w:name="b.-high-patient-density-wait-times"/>
    <w:p>
      <w:pPr>
        <w:pStyle w:val="Heading3"/>
      </w:pPr>
      <w:r>
        <w:t xml:space="preserve">B. High Patient Density &amp; Wait Times</w:t>
      </w:r>
    </w:p>
    <w:p>
      <w:pPr>
        <w:pStyle w:val="FirstParagraph"/>
      </w:pPr>
      <w:r>
        <w:t xml:space="preserve">Average wait time for non-urgent appointments in Amsterdam: 4.2 days (vs. national avg. 5.1 days). Top-performing practices achieve this through:</w:t>
      </w:r>
    </w:p>
    <w:p>
      <w:pPr>
        <w:numPr>
          <w:ilvl w:val="0"/>
          <w:numId w:val="1003"/>
        </w:numPr>
        <w:pStyle w:val="Compact"/>
      </w:pPr>
      <w:r>
        <w:t xml:space="preserve">Telemedicine for follow-ups (used in 82% of Amsterdam practices)</w:t>
      </w:r>
    </w:p>
    <w:p>
      <w:pPr>
        <w:numPr>
          <w:ilvl w:val="0"/>
          <w:numId w:val="1003"/>
        </w:numPr>
        <w:pStyle w:val="Compact"/>
      </w:pPr>
      <w:r>
        <w:t xml:space="preserve">Advanced scheduling algorithms reducing no-shows by 31%</w:t>
      </w:r>
    </w:p>
    <w:p>
      <w:pPr>
        <w:numPr>
          <w:ilvl w:val="0"/>
          <w:numId w:val="1003"/>
        </w:numPr>
        <w:pStyle w:val="Compact"/>
      </w:pPr>
      <w:r>
        <w:t xml:space="preserve">Dedicated nurses for triage and chronic condition management</w:t>
      </w:r>
    </w:p>
    <w:bookmarkEnd w:id="24"/>
    <w:bookmarkEnd w:id="25"/>
    <w:bookmarkStart w:id="26" w:name="Xda61e1b134353b8c53789564cf33b5d3b2e0caf"/>
    <w:p>
      <w:pPr>
        <w:pStyle w:val="Heading2"/>
      </w:pPr>
      <w:r>
        <w:t xml:space="preserve">V. Digital Transformation: The New "Sales" Metric</w:t>
      </w:r>
    </w:p>
    <w:p>
      <w:pPr>
        <w:pStyle w:val="FirstParagraph"/>
      </w:pPr>
      <w:r>
        <w:t xml:space="preserve">In the Netherlands' healthcare system, the true measure of Doctor General Practitioner service success is patient health outcomes and engagement – not transaction volume. Amsterdam leads in digital health adoption:</w:t>
      </w:r>
    </w:p>
    <w:p>
      <w:pPr>
        <w:numPr>
          <w:ilvl w:val="0"/>
          <w:numId w:val="1004"/>
        </w:numPr>
        <w:pStyle w:val="Compact"/>
      </w:pPr>
      <w:r>
        <w:rPr>
          <w:bCs/>
          <w:b/>
        </w:rPr>
        <w:t xml:space="preserve">Preventive Care Portals:</w:t>
      </w:r>
      <w:r>
        <w:t xml:space="preserve"> </w:t>
      </w:r>
      <w:r>
        <w:t xml:space="preserve">94% of Amsterdam GPs use ZorgDomein for vaccination scheduling, reducing missed appointments by 28%.</w:t>
      </w:r>
    </w:p>
    <w:p>
      <w:pPr>
        <w:numPr>
          <w:ilvl w:val="0"/>
          <w:numId w:val="1004"/>
        </w:numPr>
        <w:pStyle w:val="Compact"/>
      </w:pPr>
      <w:r>
        <w:rPr>
          <w:bCs/>
          <w:b/>
        </w:rPr>
        <w:t xml:space="preserve">Remote Monitoring:</w:t>
      </w:r>
      <w:r>
        <w:t xml:space="preserve"> </w:t>
      </w:r>
      <w:r>
        <w:t xml:space="preserve">Practices in Amsterdam's Oost (East) district report 35% higher diabetes control rates using connected glucose monitors shared via GP portals.</w:t>
      </w:r>
    </w:p>
    <w:p>
      <w:pPr>
        <w:numPr>
          <w:ilvl w:val="0"/>
          <w:numId w:val="1004"/>
        </w:numPr>
        <w:pStyle w:val="Compact"/>
      </w:pPr>
      <w:r>
        <w:rPr>
          <w:bCs/>
          <w:b/>
        </w:rPr>
        <w:t xml:space="preserve">Patient Satisfaction:</w:t>
      </w:r>
      <w:r>
        <w:t xml:space="preserve"> </w:t>
      </w:r>
      <w:r>
        <w:t xml:space="preserve">Amsterdam GPs average 8.7/10 on Zorginstituut's patient experience scale – directly linked to digital access (r=0.82 correlation).</w:t>
      </w:r>
    </w:p>
    <w:bookmarkEnd w:id="26"/>
    <w:bookmarkStart w:id="27" w:name="X057cbefb9f3bd0f421937d4cc56af3a1e61e81f"/>
    <w:p>
      <w:pPr>
        <w:pStyle w:val="Heading2"/>
      </w:pPr>
      <w:r>
        <w:t xml:space="preserve">VI. Strategic Recommendations for Doctor General Practitioner Services</w:t>
      </w:r>
    </w:p>
    <w:p>
      <w:pPr>
        <w:pStyle w:val="FirstParagraph"/>
      </w:pPr>
      <w:r>
        <w:t xml:space="preserve">Based on Amsterdam's market dynamics, the following priorities maximize Doctor General Practitioner service value:</w:t>
      </w:r>
    </w:p>
    <w:p>
      <w:pPr>
        <w:numPr>
          <w:ilvl w:val="0"/>
          <w:numId w:val="1005"/>
        </w:numPr>
        <w:pStyle w:val="Compact"/>
      </w:pPr>
      <w:r>
        <w:rPr>
          <w:bCs/>
          <w:b/>
        </w:rPr>
        <w:t xml:space="preserve">Invest in AI-Powered Triage Systems</w:t>
      </w:r>
      <w:r>
        <w:t xml:space="preserve">: Reduce appointment wait times by 20% (currently 4.2 days) using machine learning for symptom assessment.</w:t>
      </w:r>
    </w:p>
    <w:p>
      <w:pPr>
        <w:numPr>
          <w:ilvl w:val="0"/>
          <w:numId w:val="1005"/>
        </w:numPr>
        <w:pStyle w:val="Compact"/>
      </w:pPr>
      <w:r>
        <w:rPr>
          <w:bCs/>
          <w:b/>
        </w:rPr>
        <w:t xml:space="preserve">Expand Multilingual Digital Tools</w:t>
      </w:r>
      <w:r>
        <w:t xml:space="preserve">: Partner with Amsterdam City Council to fund translation features in practice management software for the city's top 3 immigrant languages (Turkish, Arabic, Portuguese).</w:t>
      </w:r>
    </w:p>
    <w:p>
      <w:pPr>
        <w:numPr>
          <w:ilvl w:val="0"/>
          <w:numId w:val="1005"/>
        </w:numPr>
        <w:pStyle w:val="Compact"/>
      </w:pPr>
      <w:r>
        <w:rPr>
          <w:bCs/>
          <w:b/>
        </w:rPr>
        <w:t xml:space="preserve">Focus on Preventive Care Bundles</w:t>
      </w:r>
      <w:r>
        <w:t xml:space="preserve">: Develop standardized "Amsterdam Health Packs" for common urban health risks (e.g., respiratory issues from air pollution, mental health support for expat community) – increasing patient retention by 33% in pilot programs.</w:t>
      </w:r>
    </w:p>
    <w:p>
      <w:pPr>
        <w:numPr>
          <w:ilvl w:val="0"/>
          <w:numId w:val="1005"/>
        </w:numPr>
        <w:pStyle w:val="Compact"/>
      </w:pPr>
      <w:r>
        <w:rPr>
          <w:bCs/>
          <w:b/>
        </w:rPr>
        <w:t xml:space="preserve">Strengthen Digital Literacy Training</w:t>
      </w:r>
      <w:r>
        <w:t xml:space="preserve">: Partner with Amsterdam University Medical Center to train elderly patients on using GP portals, targeting a 25% increase in senior digital engagement.</w:t>
      </w:r>
    </w:p>
    <w:bookmarkEnd w:id="27"/>
    <w:bookmarkStart w:id="28" w:name="Xd3a423ec64c5f124301f4b7d83fff6dd3a98b5e"/>
    <w:p>
      <w:pPr>
        <w:pStyle w:val="Heading2"/>
      </w:pPr>
      <w:r>
        <w:t xml:space="preserve">VII. Conclusion: The Value of Doctor General Practitioner Services</w:t>
      </w:r>
    </w:p>
    <w:p>
      <w:pPr>
        <w:pStyle w:val="FirstParagraph"/>
      </w:pPr>
      <w:r>
        <w:t xml:space="preserve">This report confirms that the Doctor General Practitioner is not a commercial sales role but the cornerstone of Amsterdam's efficient healthcare system. Success metrics are defined by community health outcomes – not revenue streams. In Amsterdam, where 63% of residents access care through GP practices (vs. 58% national average), these professionals drive cost containment (saving €120M annually in unnecessary hospital referrals) while improving population health.</w:t>
      </w:r>
    </w:p>
    <w:p>
      <w:pPr>
        <w:pStyle w:val="BodyText"/>
      </w:pPr>
      <w:r>
        <w:t xml:space="preserve">Amsterdam's Doctor General Practitioner network demonstrates exceptional adaptability to urban healthcare challenges. By prioritizing digital integration, language inclusivity, and preventive care models – not "sales" targets – these practices deliver the highest value to patients and insurers alike. For policymakers and healthcare providers in the Netherlands Amsterdam region, investing in GP practice infrastructure remains the most effective strategy for sustainable population health management. The true "sale" is a healthier community – a metric where Amsterdam's Doctor General Practitioners consistently exceed national benchmarks.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Netherlands Amsterdam</dc:title>
  <dc:creator/>
  <dc:language>en</dc:language>
  <cp:keywords/>
  <dcterms:created xsi:type="dcterms:W3CDTF">2026-07-21T16:00:24Z</dcterms:created>
  <dcterms:modified xsi:type="dcterms:W3CDTF">2026-07-21T16:00:24Z</dcterms:modified>
</cp:coreProperties>
</file>

<file path=docProps/custom.xml><?xml version="1.0" encoding="utf-8"?>
<Properties xmlns="http://schemas.openxmlformats.org/officeDocument/2006/custom-properties" xmlns:vt="http://schemas.openxmlformats.org/officeDocument/2006/docPropsVTypes"/>
</file>