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f43c1b4da24318fed9065299677332cec1d7c8e"/>
    <w:p>
      <w:pPr>
        <w:pStyle w:val="Heading1"/>
      </w:pPr>
      <w:r>
        <w:t xml:space="preserve">Quarterly Sales Report: Doctor General Practitioner Practice Performance in New Zealand Auckland</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Auckland Medical Network Board of Directors</w:t>
      </w:r>
      <w:r>
        <w:br/>
      </w:r>
      <w:r>
        <w:rPr>
          <w:bCs/>
          <w:b/>
        </w:rPr>
        <w:t xml:space="preserve">Prepared By:</w:t>
      </w:r>
      <w:r>
        <w:t xml:space="preserve"> </w:t>
      </w:r>
      <w:r>
        <w:t xml:space="preserve">Healthcare Analytics Division</w:t>
      </w:r>
    </w:p>
    <w:bookmarkStart w:id="20" w:name="i.-executive-summary"/>
    <w:p>
      <w:pPr>
        <w:pStyle w:val="Heading2"/>
      </w:pPr>
      <w:r>
        <w:t xml:space="preserve">I. Executive Summary</w:t>
      </w:r>
    </w:p>
    <w:p>
      <w:pPr>
        <w:pStyle w:val="FirstParagraph"/>
      </w:pPr>
      <w:r>
        <w:t xml:space="preserve">This Sales Report details the performance metrics of our Doctor General Practitioner (GP) services across New Zealand Auckland during Q3 2023. The report confirms strong growth in patient engagement and revenue streams, positioning our Auckland practice as a leading primary healthcare provider in the region. Key achievements include a 15% year-over-year increase in consultative visits, exceptional patient satisfaction scores (94%), and strategic expansion of telehealth services to meet New Zealand's evolving healthcare demands. This document serves as a critical performance assessment for all stakeholders invested in the future of Doctor General Practitioner care within the bustling urban landscape of New Zealand Auckland.</w:t>
      </w:r>
    </w:p>
    <w:bookmarkEnd w:id="20"/>
    <w:bookmarkStart w:id="21" w:name="ii.-performance-overview-q3-2023"/>
    <w:p>
      <w:pPr>
        <w:pStyle w:val="Heading2"/>
      </w:pPr>
      <w:r>
        <w:t xml:space="preserve">II. Performance Overview: Q3 2023</w:t>
      </w:r>
    </w:p>
    <w:p>
      <w:pPr>
        <w:pStyle w:val="FirstParagraph"/>
      </w:pPr>
      <w:r>
        <w:t xml:space="preserve">Our Auckland-based Doctor General Practitioner practice recorded significant milestones during this reporting period. Total revenue reached $1,845,000 NZD, exceeding the quarterly target by 12%. This growth stems directly from increased patient volume (6.8% above Q2) and strategic service diversification. The practice maintained a consistent patient visit rate of 1,975 consultations per week—a 3.2% increase over Q2—reflecting strong community trust in our New Zealand Auckland healthcare delivery model.</w:t>
      </w:r>
    </w:p>
    <w:p>
      <w:pPr>
        <w:pStyle w:val="BodyText"/>
      </w:pPr>
      <w:r>
        <w:t xml:space="preserve">Telehealth utilization surged by 41% compared to Q2, driven by the Ministry of Health's "Digital Health Expansion" initiative and patient preference for accessible care. This channel now accounts for 37% of all consultations, demonstrating our practice's agility in adapting to modern healthcare consumption patterns in New Zealand Auckland. Notably, the average consultation duration decreased by 8 minutes without compromising clinical quality, enhancing service throughput while maintaining high standards of Doctor General Practitioner care.</w:t>
      </w:r>
    </w:p>
    <w:bookmarkEnd w:id="21"/>
    <w:bookmarkStart w:id="22" w:name="X8826d3bfcadb4ddce7b2ad67135409ff1875290"/>
    <w:p>
      <w:pPr>
        <w:pStyle w:val="Heading2"/>
      </w:pPr>
      <w:r>
        <w:t xml:space="preserve">III. Patient Demographics and Service Utilization</w:t>
      </w:r>
    </w:p>
    <w:p>
      <w:pPr>
        <w:pStyle w:val="FirstParagraph"/>
      </w:pPr>
      <w:r>
        <w:t xml:space="preserve">Auckland's diverse population continues to shape our service demand profile. This quarter saw:</w:t>
      </w:r>
    </w:p>
    <w:p>
      <w:pPr>
        <w:numPr>
          <w:ilvl w:val="0"/>
          <w:numId w:val="1001"/>
        </w:numPr>
        <w:pStyle w:val="Compact"/>
      </w:pPr>
      <w:r>
        <w:rPr>
          <w:bCs/>
          <w:b/>
        </w:rPr>
        <w:t xml:space="preserve">Age Distribution:</w:t>
      </w:r>
      <w:r>
        <w:t xml:space="preserve"> </w:t>
      </w:r>
      <w:r>
        <w:t xml:space="preserve">45% aged 35-64 years (peak consultation period), 28% under 35, and 27% over 65</w:t>
      </w:r>
    </w:p>
    <w:p>
      <w:pPr>
        <w:numPr>
          <w:ilvl w:val="0"/>
          <w:numId w:val="1001"/>
        </w:numPr>
        <w:pStyle w:val="Compact"/>
      </w:pPr>
      <w:r>
        <w:rPr>
          <w:bCs/>
          <w:b/>
        </w:rPr>
        <w:t xml:space="preserve">Ethnic Representation:</w:t>
      </w:r>
      <w:r>
        <w:t xml:space="preserve"> </w:t>
      </w:r>
      <w:r>
        <w:t xml:space="preserve">Māori (18%), Pasifika (14%), Asian (29%), European/Pākehā (39%) – aligning with Auckland's demographic composition</w:t>
      </w:r>
    </w:p>
    <w:p>
      <w:pPr>
        <w:numPr>
          <w:ilvl w:val="0"/>
          <w:numId w:val="1001"/>
        </w:numPr>
        <w:pStyle w:val="Compact"/>
      </w:pPr>
      <w:r>
        <w:rPr>
          <w:bCs/>
          <w:b/>
        </w:rPr>
        <w:t xml:space="preserve">Common Presentations:</w:t>
      </w:r>
      <w:r>
        <w:t xml:space="preserve"> </w:t>
      </w:r>
      <w:r>
        <w:t xml:space="preserve">Chronic disease management (diabetes, hypertension - 42% of consults), mental health support (23%), and preventive care screenings</w:t>
      </w:r>
    </w:p>
    <w:p>
      <w:pPr>
        <w:pStyle w:val="FirstParagraph"/>
      </w:pPr>
      <w:r>
        <w:t xml:space="preserve">The data confirms our Doctor General Practitioner services are meeting critical community needs across Auckland's multicultural landscape. Particularly noteworthy was a 31% rise in consultations from Pacific Island communities—directly supporting the NZ Government's "Better Health for All" strategy to reduce health disparities in New Zealand Auckland.</w:t>
      </w:r>
    </w:p>
    <w:bookmarkEnd w:id="22"/>
    <w:bookmarkStart w:id="23" w:name="iv.-revenue-stream-analysis"/>
    <w:p>
      <w:pPr>
        <w:pStyle w:val="Heading2"/>
      </w:pPr>
      <w:r>
        <w:t xml:space="preserve">IV. Revenue Stream Analysis</w:t>
      </w:r>
    </w:p>
    <w:p>
      <w:pPr>
        <w:pStyle w:val="FirstParagraph"/>
      </w:pPr>
      <w:r>
        <w:t xml:space="preserve">The practice diversified beyond standard consultations through strategic service expansion:</w:t>
      </w:r>
    </w:p>
    <w:p>
      <w:pPr>
        <w:pStyle w:val="BodyText"/>
      </w:pPr>
      <w:r>
        <w:t xml:space="preserve">Service Category</w:t>
      </w:r>
    </w:p>
    <w:p>
      <w:pPr>
        <w:pStyle w:val="BodyText"/>
      </w:pPr>
      <w:r>
        <w:t xml:space="preserve">Revenue (NZD)</w:t>
      </w:r>
    </w:p>
    <w:p>
      <w:pPr>
        <w:pStyle w:val="BodyText"/>
      </w:pPr>
      <w:r>
        <w:t xml:space="preserve">% of Total Revenue</w:t>
      </w:r>
    </w:p>
    <w:p>
      <w:pPr>
        <w:pStyle w:val="BodyText"/>
      </w:pPr>
      <w:r>
        <w:t xml:space="preserve">YoY Change</w:t>
      </w:r>
    </w:p>
    <w:p>
      <w:pPr>
        <w:pStyle w:val="BodyText"/>
      </w:pPr>
      <w:r>
        <w:t xml:space="preserve">Standard GP Consultations</w:t>
      </w:r>
    </w:p>
    <w:p>
      <w:pPr>
        <w:pStyle w:val="BodyText"/>
      </w:pPr>
      <w:r>
        <w:t xml:space="preserve">$1,024,500</w:t>
      </w:r>
    </w:p>
    <w:p>
      <w:pPr>
        <w:pStyle w:val="BodyText"/>
      </w:pPr>
      <w:r>
        <w:t xml:space="preserve">55.5%</w:t>
      </w:r>
    </w:p>
    <w:p>
      <w:pPr>
        <w:pStyle w:val="BodyText"/>
      </w:pPr>
      <w:r>
        <w:t xml:space="preserve">+8.3%</w:t>
      </w:r>
    </w:p>
    <w:p>
      <w:pPr>
        <w:pStyle w:val="BodyText"/>
      </w:pPr>
      <w:r>
        <w:t xml:space="preserve">Telehealth Services</w:t>
      </w:r>
    </w:p>
    <w:p>
      <w:pPr>
        <w:pStyle w:val="BodyText"/>
      </w:pPr>
      <w:r>
        <w:t xml:space="preserve">$427,800</w:t>
      </w:r>
    </w:p>
    <w:p>
      <w:pPr>
        <w:pStyle w:val="BodyText"/>
      </w:pPr>
      <w:r>
        <w:t xml:space="preserve">23.2%</w:t>
      </w:r>
    </w:p>
    <w:p>
      <w:pPr>
        <w:pStyle w:val="BodyText"/>
      </w:pPr>
      <w:r>
        <w:br/>
      </w:r>
      <w:r>
        <w:br/>
      </w:r>
      <w:r>
        <w:t xml:space="preserve">Note: Telehealth revenue grew 67% YoY due to NZ Health Ministry subsidies for digital access.</w:t>
      </w:r>
    </w:p>
    <w:p>
      <w:pPr>
        <w:pStyle w:val="BodyText"/>
      </w:pPr>
      <w:r>
        <w:t xml:space="preserve">Chronic Disease Management Programs</w:t>
      </w:r>
    </w:p>
    <w:p>
      <w:pPr>
        <w:pStyle w:val="BodyText"/>
      </w:pPr>
      <w:r>
        <w:t xml:space="preserve">$298,000</w:t>
      </w:r>
    </w:p>
    <w:p>
      <w:pPr>
        <w:pStyle w:val="BodyText"/>
      </w:pPr>
      <w:r>
        <w:t xml:space="preserve">16.2%</w:t>
      </w:r>
    </w:p>
    <w:p>
      <w:pPr>
        <w:pStyle w:val="BodyText"/>
      </w:pPr>
      <w:r>
        <w:t xml:space="preserve">+24.7%</w:t>
      </w:r>
    </w:p>
    <w:p>
      <w:pPr>
        <w:pStyle w:val="BodyText"/>
      </w:pPr>
      <w:r>
        <w:br/>
      </w:r>
      <w:r>
        <w:br/>
      </w:r>
      <w:r>
        <w:t xml:space="preserve">Note: Government-funded programs contributed to this growth.</w:t>
      </w:r>
    </w:p>
    <w:p>
      <w:pPr>
        <w:pStyle w:val="BodyText"/>
      </w:pPr>
      <w:r>
        <w:t xml:space="preserve">Preventive Health Screenings</w:t>
      </w:r>
    </w:p>
    <w:p>
      <w:pPr>
        <w:pStyle w:val="BodyText"/>
      </w:pPr>
      <w:r>
        <w:t xml:space="preserve">$135,200</w:t>
      </w:r>
    </w:p>
    <w:p>
      <w:pPr>
        <w:pStyle w:val="BodyText"/>
      </w:pPr>
      <w:r>
        <w:t xml:space="preserve">7.3%</w:t>
      </w:r>
    </w:p>
    <w:p>
      <w:pPr>
        <w:pStyle w:val="BodyText"/>
      </w:pPr>
      <w:r>
        <w:br/>
      </w:r>
      <w:r>
        <w:br/>
      </w:r>
      <w:r>
        <w:t xml:space="preserve">Note: Strong uptake in cervical/cancer screening initiatives.</w:t>
      </w:r>
    </w:p>
    <w:bookmarkEnd w:id="23"/>
    <w:bookmarkStart w:id="24" w:name="X40365503aa4e8db2b597f2fa0470bbc1a07c8a4"/>
    <w:p>
      <w:pPr>
        <w:pStyle w:val="Heading2"/>
      </w:pPr>
      <w:r>
        <w:t xml:space="preserve">V. Challenges and Market Context in New Zealand Auckland</w:t>
      </w:r>
    </w:p>
    <w:p>
      <w:pPr>
        <w:pStyle w:val="FirstParagraph"/>
      </w:pPr>
      <w:r>
        <w:t xml:space="preserve">Despite positive metrics, we face significant market pressures unique to New Zealand Auckland:</w:t>
      </w:r>
    </w:p>
    <w:p>
      <w:pPr>
        <w:numPr>
          <w:ilvl w:val="0"/>
          <w:numId w:val="1002"/>
        </w:numPr>
        <w:pStyle w:val="Compact"/>
      </w:pPr>
      <w:r>
        <w:rPr>
          <w:bCs/>
          <w:b/>
        </w:rPr>
        <w:t xml:space="preserve">Workforce Shortages:</w:t>
      </w:r>
      <w:r>
        <w:t xml:space="preserve"> </w:t>
      </w:r>
      <w:r>
        <w:t xml:space="preserve">18% of our Doctor General Practitioner positions remain unfilled due to national GP recruitment challenges. This impacts appointment availability during peak seasons.</w:t>
      </w:r>
    </w:p>
    <w:p>
      <w:pPr>
        <w:numPr>
          <w:ilvl w:val="0"/>
          <w:numId w:val="1002"/>
        </w:numPr>
        <w:pStyle w:val="Compact"/>
      </w:pPr>
      <w:r>
        <w:rPr>
          <w:bCs/>
          <w:b/>
        </w:rPr>
        <w:t xml:space="preserve">Rising Operational Costs:</w:t>
      </w:r>
      <w:r>
        <w:t xml:space="preserve"> </w:t>
      </w:r>
      <w:r>
        <w:t xml:space="preserve">Pharmacy inventory costs increased by 9% (2023), and Auckland-based facility expenses rose by 5.7% YoY.</w:t>
      </w:r>
    </w:p>
    <w:p>
      <w:pPr>
        <w:numPr>
          <w:ilvl w:val="0"/>
          <w:numId w:val="1002"/>
        </w:numPr>
        <w:pStyle w:val="Compact"/>
      </w:pPr>
      <w:r>
        <w:rPr>
          <w:bCs/>
          <w:b/>
        </w:rPr>
        <w:t xml:space="preserve">Demographic Pressures:</w:t>
      </w:r>
      <w:r>
        <w:t xml:space="preserve"> </w:t>
      </w:r>
      <w:r>
        <w:t xml:space="preserve">Rapid population growth in South Auckland (14.2% increase since 2018) strains existing services, requiring strategic expansion.</w:t>
      </w:r>
    </w:p>
    <w:p>
      <w:pPr>
        <w:pStyle w:val="FirstParagraph"/>
      </w:pPr>
      <w:r>
        <w:t xml:space="preserve">These challenges are compounded by the unique healthcare landscape of New Zealand Auckland, where urban density creates both high demand and logistical complexity for primary care delivery. The Ministry's recent "Auckland Health Infrastructure Plan" presents an opportunity to address these gaps through our practice's proposed satellite clinic in Manukau City.</w:t>
      </w:r>
    </w:p>
    <w:bookmarkEnd w:id="24"/>
    <w:bookmarkStart w:id="25" w:name="vi.-strategic-recommendations"/>
    <w:p>
      <w:pPr>
        <w:pStyle w:val="Heading2"/>
      </w:pPr>
      <w:r>
        <w:t xml:space="preserve">VI. Strategic Recommendations</w:t>
      </w:r>
    </w:p>
    <w:p>
      <w:pPr>
        <w:pStyle w:val="FirstParagraph"/>
      </w:pPr>
      <w:r>
        <w:t xml:space="preserve">To capitalize on our strong foundation and meet growing demand, we propose:</w:t>
      </w:r>
    </w:p>
    <w:p>
      <w:pPr>
        <w:numPr>
          <w:ilvl w:val="0"/>
          <w:numId w:val="1003"/>
        </w:numPr>
        <w:pStyle w:val="Compact"/>
      </w:pPr>
      <w:r>
        <w:rPr>
          <w:bCs/>
          <w:b/>
        </w:rPr>
        <w:t xml:space="preserve">Accelerate Satellite Clinic Development:</w:t>
      </w:r>
      <w:r>
        <w:t xml:space="preserve"> </w:t>
      </w:r>
      <w:r>
        <w:t xml:space="preserve">Establish a second location in South Auckland (Manukau) by Q2 2024 to serve 15,000+ underserved residents. Projected ROI: 3 years.</w:t>
      </w:r>
    </w:p>
    <w:p>
      <w:pPr>
        <w:numPr>
          <w:ilvl w:val="0"/>
          <w:numId w:val="1003"/>
        </w:numPr>
        <w:pStyle w:val="Compact"/>
      </w:pPr>
      <w:r>
        <w:rPr>
          <w:bCs/>
          <w:b/>
        </w:rPr>
        <w:t xml:space="preserve">Expand Indigenous Health Integration:</w:t>
      </w:r>
      <w:r>
        <w:t xml:space="preserve"> </w:t>
      </w:r>
      <w:r>
        <w:t xml:space="preserve">Partner with local iwi health providers to develop culturally safe care pathways for Māori patients (addressing current service gaps).</w:t>
      </w:r>
    </w:p>
    <w:p>
      <w:pPr>
        <w:numPr>
          <w:ilvl w:val="0"/>
          <w:numId w:val="1003"/>
        </w:numPr>
        <w:pStyle w:val="Compact"/>
      </w:pPr>
      <w:r>
        <w:rPr>
          <w:bCs/>
          <w:b/>
        </w:rPr>
        <w:t xml:space="preserve">Optimize Telehealth Ecosystem:</w:t>
      </w:r>
      <w:r>
        <w:t xml:space="preserve"> </w:t>
      </w:r>
      <w:r>
        <w:t xml:space="preserve">Integrate AI-driven symptom triage to reduce wait times by 25% while maintaining quality.</w:t>
      </w:r>
    </w:p>
    <w:p>
      <w:pPr>
        <w:numPr>
          <w:ilvl w:val="0"/>
          <w:numId w:val="1003"/>
        </w:numPr>
        <w:pStyle w:val="Compact"/>
      </w:pPr>
      <w:r>
        <w:rPr>
          <w:bCs/>
          <w:b/>
        </w:rPr>
        <w:t xml:space="preserve">Enhance Workforce Pipeline:</w:t>
      </w:r>
      <w:r>
        <w:t xml:space="preserve"> </w:t>
      </w:r>
      <w:r>
        <w:t xml:space="preserve">Launch a dedicated GP training program with local universities to address Auckland's critical shortage.</w:t>
      </w:r>
    </w:p>
    <w:bookmarkEnd w:id="25"/>
    <w:bookmarkStart w:id="26" w:name="vii.-conclusion"/>
    <w:p>
      <w:pPr>
        <w:pStyle w:val="Heading2"/>
      </w:pPr>
      <w:r>
        <w:t xml:space="preserve">VII. Conclusion</w:t>
      </w:r>
    </w:p>
    <w:p>
      <w:pPr>
        <w:pStyle w:val="FirstParagraph"/>
      </w:pPr>
      <w:r>
        <w:t xml:space="preserve">This Sales Report affirms that our Doctor General Practitioner practice is not merely meeting but exceeding expectations in New Zealand Auckland's dynamic healthcare environment. With revenue growth outpacing regional averages and patient satisfaction reaching industry-leading levels, we stand poised to become the benchmark for accessible, culturally responsive primary care in Aotearoa. The strategic initiatives outlined will ensure our practice continues to deliver exceptional value—both clinically and financially—as we navigate the future of healthcare delivery across New Zealand Auckland.</w:t>
      </w:r>
    </w:p>
    <w:p>
      <w:pPr>
        <w:pStyle w:val="BodyText"/>
      </w:pPr>
      <w:r>
        <w:t xml:space="preserve">As stated in the Ministry's 2023 Primary Health Care Strategy: "Quality primary care is the cornerstone of equitable health outcomes." Our Q3 performance exemplifies this principle in action. We are confident that by embedding these recommendations within our operational framework, our Doctor General Practitioner services will remain a vital, sustainable pillar of New Zealand Auckland's healthcare ecosystem for decades to come.</w:t>
      </w:r>
    </w:p>
    <w:p>
      <w:pPr>
        <w:pStyle w:val="BodyText"/>
      </w:pPr>
      <w:r>
        <w:rPr>
          <w:bCs/>
          <w:b/>
        </w:rPr>
        <w:t xml:space="preserve">Prepared By:</w:t>
      </w:r>
      <w:r>
        <w:t xml:space="preserve"> </w:t>
      </w:r>
      <w:r>
        <w:t xml:space="preserve">Healthcare Analytics Division, Auckland Medical Network</w:t>
      </w:r>
      <w:r>
        <w:br/>
      </w:r>
      <w:r>
        <w:rPr>
          <w:bCs/>
          <w:b/>
        </w:rPr>
        <w:t xml:space="preserve">Contact:</w:t>
      </w:r>
      <w:r>
        <w:t xml:space="preserve"> </w:t>
      </w:r>
      <w:r>
        <w:t xml:space="preserve">analytics@amn.org.nz | +64 9 876 5432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General Practitioner Services in New Zealand Auckland</dc:title>
  <dc:creator/>
  <dc:language>en</dc:language>
  <cp:keywords/>
  <dcterms:created xsi:type="dcterms:W3CDTF">2026-07-24T11:55:24Z</dcterms:created>
  <dcterms:modified xsi:type="dcterms:W3CDTF">2026-07-24T11:55:24Z</dcterms:modified>
</cp:coreProperties>
</file>

<file path=docProps/custom.xml><?xml version="1.0" encoding="utf-8"?>
<Properties xmlns="http://schemas.openxmlformats.org/officeDocument/2006/custom-properties" xmlns:vt="http://schemas.openxmlformats.org/officeDocument/2006/docPropsVTypes"/>
</file>