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p>
    <w:bookmarkStart w:id="32" w:name="X64293b29a0fefa41acc87273d1a59501ffafb79"/>
    <w:p>
      <w:pPr>
        <w:pStyle w:val="Heading1"/>
      </w:pPr>
      <w:r>
        <w:t xml:space="preserve">Sales Report: Doctor General Practitioner Service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Healthcare Network Leadership &amp; Ministry of Health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report details the performance metrics and market dynamics of General Practitioner (GP) services across the Wellington region of New Zealand. As a cornerstone of primary healthcare in New Zealand, Doctor General Practitioner services demonstrate robust patient engagement and strategic growth opportunities within Wellington's unique demographic landscape. The report confirms that GP clinics in Wellington have achieved an 8% year-on-year increase in service uptake, with strong demand for integrated care models reflecting the evolving healthcare needs of our community.</w:t>
      </w:r>
    </w:p>
    <w:bookmarkEnd w:id="20"/>
    <w:bookmarkStart w:id="21" w:name="X9369bb975e7c92e6fc843c3ff0f057fac9e43b1"/>
    <w:p>
      <w:pPr>
        <w:pStyle w:val="Heading2"/>
      </w:pPr>
      <w:r>
        <w:t xml:space="preserve">II. Market Context: New Zealand Wellington Healthcare Landscape</w:t>
      </w:r>
    </w:p>
    <w:p>
      <w:pPr>
        <w:pStyle w:val="FirstParagraph"/>
      </w:pPr>
      <w:r>
        <w:t xml:space="preserve">Wellington, as New Zealand's capital city and a hub for government services, presents distinct healthcare dynamics. With a population of 430,000 (Statistics NZ 2023) and high urban density coupled with significant Māori and Pacific Islander communities, the demand for accessible Doctor General Practitioner services is critical. The Wellington District Health Board (WDHB) reports that 75% of residents access GP services annually, making it a vital healthcare anchor. Key challenges include addressing rural-urban disparities in the wider Wellington region and managing rising patient volumes post-pandemic.</w:t>
      </w:r>
    </w:p>
    <w:bookmarkEnd w:id="21"/>
    <w:bookmarkStart w:id="25" w:name="iii.-sales-performance-metrics"/>
    <w:p>
      <w:pPr>
        <w:pStyle w:val="Heading2"/>
      </w:pPr>
      <w:r>
        <w:t xml:space="preserve">III. Sales Performance Metrics</w:t>
      </w:r>
    </w:p>
    <w:bookmarkStart w:id="22" w:name="a.-patient-acquisition-retention"/>
    <w:p>
      <w:pPr>
        <w:pStyle w:val="Heading3"/>
      </w:pPr>
      <w:r>
        <w:t xml:space="preserve">A. Patient Acquisition &amp; Retention</w:t>
      </w:r>
    </w:p>
    <w:p>
      <w:pPr>
        <w:pStyle w:val="FirstParagraph"/>
      </w:pPr>
      <w:r>
        <w:t xml:space="preserve">Wellington GP clinics reported a 12% increase in new patient registrations (4,850 new patients) compared to 2022. This growth stems from targeted outreach to Wellington’s university communities (Victoria University, Massey University) and employer partnerships. Retention rates reached 87%, exceeding the national average of 83%, driven by seamless electronic health record integration with the National Health Index (NHI).</w:t>
      </w:r>
    </w:p>
    <w:bookmarkEnd w:id="22"/>
    <w:bookmarkStart w:id="23" w:name="b.-service-utilization-breakdown"/>
    <w:p>
      <w:pPr>
        <w:pStyle w:val="Heading3"/>
      </w:pPr>
      <w:r>
        <w:t xml:space="preserve">B. Service Utilization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2022 Volume</w:t>
            </w:r>
          </w:p>
        </w:tc>
        <w:tc>
          <w:tcPr/>
          <w:p>
            <w:pPr>
              <w:pStyle w:val="Compact"/>
              <w:jc w:val="left"/>
            </w:pPr>
            <w:r>
              <w:t xml:space="preserve">2023 Volume</w:t>
            </w:r>
          </w:p>
        </w:tc>
        <w:tc>
          <w:tcPr/>
          <w:p>
            <w:pPr>
              <w:pStyle w:val="Compact"/>
              <w:jc w:val="left"/>
            </w:pPr>
            <w:r>
              <w:t xml:space="preserve">% Growth</w:t>
            </w:r>
          </w:p>
        </w:tc>
      </w:tr>
      <w:tr>
        <w:tc>
          <w:tcPr/>
          <w:p>
            <w:pPr>
              <w:pStyle w:val="Compact"/>
              <w:jc w:val="left"/>
            </w:pPr>
            <w:r>
              <w:t xml:space="preserve">Standard Consultations (Face-to-Face)</w:t>
            </w:r>
          </w:p>
        </w:tc>
        <w:tc>
          <w:tcPr/>
          <w:p>
            <w:pPr>
              <w:pStyle w:val="Compact"/>
              <w:jc w:val="left"/>
            </w:pPr>
            <w:r>
              <w:t xml:space="preserve">148,500</w:t>
            </w:r>
          </w:p>
        </w:tc>
        <w:tc>
          <w:tcPr/>
          <w:p>
            <w:pPr>
              <w:pStyle w:val="Compact"/>
              <w:jc w:val="left"/>
            </w:pPr>
            <w:r>
              <w:t xml:space="preserve">167,200</w:t>
            </w:r>
          </w:p>
        </w:tc>
        <w:tc>
          <w:tcPr/>
          <w:p>
            <w:pPr>
              <w:pStyle w:val="Compact"/>
              <w:jc w:val="left"/>
            </w:pPr>
            <w:r>
              <w:t xml:space="preserve">+12.6%</w:t>
            </w:r>
          </w:p>
        </w:tc>
      </w:tr>
      <w:tr>
        <w:tc>
          <w:tcPr/>
          <w:p>
            <w:pPr>
              <w:pStyle w:val="Compact"/>
              <w:jc w:val="left"/>
            </w:pPr>
            <w:r>
              <w:t xml:space="preserve">Telehealth Appointments</w:t>
            </w:r>
          </w:p>
        </w:tc>
        <w:tc>
          <w:tcPr/>
          <w:p>
            <w:pPr>
              <w:pStyle w:val="Compact"/>
              <w:jc w:val="left"/>
            </w:pPr>
            <w:r>
              <w:t xml:space="preserve">23,400</w:t>
            </w:r>
          </w:p>
        </w:tc>
        <w:tc>
          <w:tcPr/>
          <w:p>
            <w:pPr>
              <w:pStyle w:val="Compact"/>
              <w:jc w:val="left"/>
            </w:pPr>
            <w:r>
              <w:t xml:space="preserve">58,750</w:t>
            </w:r>
          </w:p>
        </w:tc>
        <w:tc>
          <w:tcPr/>
          <w:p>
            <w:pPr>
              <w:pStyle w:val="Compact"/>
              <w:jc w:val="left"/>
            </w:pPr>
            <w:r>
              <w:t xml:space="preserve">+151.1%</w:t>
            </w:r>
          </w:p>
        </w:tc>
      </w:tr>
      <w:tr>
        <w:tc>
          <w:tcPr/>
          <w:p>
            <w:pPr>
              <w:pStyle w:val="Compact"/>
              <w:jc w:val="left"/>
            </w:pPr>
            <w:r>
              <w:t xml:space="preserve">Rural Outreach Clinics (Wellington Region)</w:t>
            </w:r>
          </w:p>
        </w:tc>
        <w:tc>
          <w:tcPr/>
          <w:p>
            <w:pPr>
              <w:pStyle w:val="Compact"/>
              <w:jc w:val="left"/>
            </w:pPr>
            <w:r>
              <w:t xml:space="preserve">8,200</w:t>
            </w:r>
          </w:p>
        </w:tc>
        <w:tc>
          <w:tcPr/>
          <w:p>
            <w:pPr>
              <w:pStyle w:val="Compact"/>
              <w:jc w:val="left"/>
            </w:pPr>
            <w:r>
              <w:t xml:space="preserve">14,300</w:t>
            </w:r>
          </w:p>
        </w:tc>
        <w:tc>
          <w:tcPr/>
          <w:p>
            <w:pPr>
              <w:pStyle w:val="Compact"/>
              <w:jc w:val="left"/>
            </w:pPr>
            <w:r>
              <w:t xml:space="preserve">+74.4%</w:t>
            </w:r>
          </w:p>
        </w:tc>
      </w:tr>
    </w:tbl>
    <w:bookmarkEnd w:id="23"/>
    <w:bookmarkStart w:id="24" w:name="c.-revenue-streams-financial-performance"/>
    <w:p>
      <w:pPr>
        <w:pStyle w:val="Heading3"/>
      </w:pPr>
      <w:r>
        <w:t xml:space="preserve">C. Revenue Streams &amp; Financial Performance</w:t>
      </w:r>
    </w:p>
    <w:p>
      <w:pPr>
        <w:pStyle w:val="FirstParagraph"/>
      </w:pPr>
      <w:r>
        <w:t xml:space="preserve">Total revenue from Doctor General Practitioner services in Wellington reached $28.6 million (2023), a 15% increase over 2022. This growth is attributed to:</w:t>
      </w:r>
    </w:p>
    <w:p>
      <w:pPr>
        <w:numPr>
          <w:ilvl w:val="0"/>
          <w:numId w:val="1001"/>
        </w:numPr>
        <w:pStyle w:val="Compact"/>
      </w:pPr>
      <w:r>
        <w:t xml:space="preserve">Expanded Pharmaceutical Management Scheme (PMS) contracts</w:t>
      </w:r>
    </w:p>
    <w:p>
      <w:pPr>
        <w:numPr>
          <w:ilvl w:val="0"/>
          <w:numId w:val="1001"/>
        </w:numPr>
        <w:pStyle w:val="Compact"/>
      </w:pPr>
      <w:r>
        <w:t xml:space="preserve">New Medicare-funded chronic disease management programs</w:t>
      </w:r>
    </w:p>
    <w:p>
      <w:pPr>
        <w:numPr>
          <w:ilvl w:val="0"/>
          <w:numId w:val="1001"/>
        </w:numPr>
        <w:pStyle w:val="Compact"/>
      </w:pPr>
      <w:r>
        <w:t xml:space="preserve">Increased adoption of Māori Health Providers (e.g., Te Rau Matatini clinics)</w:t>
      </w:r>
    </w:p>
    <w:bookmarkEnd w:id="24"/>
    <w:bookmarkEnd w:id="25"/>
    <w:bookmarkStart w:id="28" w:name="iv.-key-drivers-of-success-in-wellington"/>
    <w:p>
      <w:pPr>
        <w:pStyle w:val="Heading2"/>
      </w:pPr>
      <w:r>
        <w:t xml:space="preserve">IV. Key Drivers of Success in Wellington</w:t>
      </w:r>
    </w:p>
    <w:bookmarkStart w:id="26" w:name="Xe03f4ee562e084f6c7f70d3de019cc8cc45bd55"/>
    <w:p>
      <w:pPr>
        <w:pStyle w:val="Heading3"/>
      </w:pPr>
      <w:r>
        <w:t xml:space="preserve">A. Integration with New Zealand Healthcare Ecosystem</w:t>
      </w:r>
    </w:p>
    <w:p>
      <w:pPr>
        <w:pStyle w:val="FirstParagraph"/>
      </w:pPr>
      <w:r>
        <w:t xml:space="preserve">Wellington GPs leverage the national Primary Health Organisation (PHO) framework effectively. 92% of clinics operate under PHO models, enabling streamlined billing and preventive care initiatives aligned with Ministry of Health priorities. The "Wellington Healthy Futures" partnership between clinics and WDHB has reduced emergency department visits for routine issues by 18%.</w:t>
      </w:r>
    </w:p>
    <w:bookmarkEnd w:id="26"/>
    <w:bookmarkStart w:id="27" w:name="b.-community-centric-service-design"/>
    <w:p>
      <w:pPr>
        <w:pStyle w:val="Heading3"/>
      </w:pPr>
      <w:r>
        <w:t xml:space="preserve">B. Community-Centric Service Design</w:t>
      </w:r>
    </w:p>
    <w:p>
      <w:pPr>
        <w:pStyle w:val="FirstParagraph"/>
      </w:pPr>
      <w:r>
        <w:t xml:space="preserve">Successful clinics in Wellington adapted services to local needs:</w:t>
      </w:r>
    </w:p>
    <w:p>
      <w:pPr>
        <w:numPr>
          <w:ilvl w:val="0"/>
          <w:numId w:val="1002"/>
        </w:numPr>
        <w:pStyle w:val="Compact"/>
      </w:pPr>
      <w:r>
        <w:rPr>
          <w:iCs/>
          <w:i/>
        </w:rPr>
        <w:t xml:space="preserve">Māori Health Focus:</w:t>
      </w:r>
      <w:r>
        <w:t xml:space="preserve"> </w:t>
      </w:r>
      <w:r>
        <w:t xml:space="preserve">Clinics with Māori health coordinators reported 27% higher engagement among Te Ātiawa and Ngāti Raukawa communities.</w:t>
      </w:r>
    </w:p>
    <w:p>
      <w:pPr>
        <w:numPr>
          <w:ilvl w:val="0"/>
          <w:numId w:val="1002"/>
        </w:numPr>
        <w:pStyle w:val="Compact"/>
      </w:pPr>
      <w:r>
        <w:rPr>
          <w:iCs/>
          <w:i/>
        </w:rPr>
        <w:t xml:space="preserve">Rural Accessibility:</w:t>
      </w:r>
      <w:r>
        <w:t xml:space="preserve"> </w:t>
      </w:r>
      <w:r>
        <w:t xml:space="preserve">Mobile clinics serving Wairarapa and Kaitoke reduced travel barriers by 63% for patients in remote Wellington regions.</w:t>
      </w:r>
    </w:p>
    <w:p>
      <w:pPr>
        <w:numPr>
          <w:ilvl w:val="0"/>
          <w:numId w:val="1002"/>
        </w:numPr>
        <w:pStyle w:val="Compact"/>
      </w:pPr>
      <w:r>
        <w:rPr>
          <w:iCs/>
          <w:i/>
        </w:rPr>
        <w:t xml:space="preserve">Wellington-Specific Health Trends:</w:t>
      </w:r>
      <w:r>
        <w:t xml:space="preserve"> </w:t>
      </w:r>
      <w:r>
        <w:t xml:space="preserve">Increased demand for mental health support (22% rise) and allergy services (due to Wellington’s coastal climate) prompted service expansions.</w:t>
      </w:r>
    </w:p>
    <w:bookmarkEnd w:id="27"/>
    <w:bookmarkEnd w:id="28"/>
    <w:bookmarkStart w:id="29" w:name="v.-challenges-strategic-recommendations"/>
    <w:p>
      <w:pPr>
        <w:pStyle w:val="Heading2"/>
      </w:pPr>
      <w:r>
        <w:t xml:space="preserve">V. Challenges &amp; Strategic Recommendations</w:t>
      </w:r>
    </w:p>
    <w:p>
      <w:pPr>
        <w:pStyle w:val="FirstParagraph"/>
      </w:pPr>
      <w:r>
        <w:rPr>
          <w:bCs/>
          <w:b/>
        </w:rPr>
        <w:t xml:space="preserve">Key Challenge:</w:t>
      </w:r>
      <w:r>
        <w:t xml:space="preserve"> </w:t>
      </w:r>
      <w:r>
        <w:t xml:space="preserve">Rising GP vacancy rates in Wellington (+14%) due to workforce pressures, impacting appointment availability.</w:t>
      </w:r>
    </w:p>
    <w:p>
      <w:pPr>
        <w:pStyle w:val="BodyText"/>
      </w:pPr>
      <w:r>
        <w:rPr>
          <w:bCs/>
          <w:b/>
        </w:rPr>
        <w:t xml:space="preserve">Recommendations for New Zealand Wellington Doctor General Practitioner Services:</w:t>
      </w:r>
    </w:p>
    <w:p>
      <w:pPr>
        <w:numPr>
          <w:ilvl w:val="0"/>
          <w:numId w:val="1003"/>
        </w:numPr>
        <w:pStyle w:val="Compact"/>
      </w:pPr>
      <w:r>
        <w:rPr>
          <w:iCs/>
          <w:i/>
        </w:rPr>
        <w:t xml:space="preserve">Accelerate Workforce Development:</w:t>
      </w:r>
      <w:r>
        <w:t xml:space="preserve"> </w:t>
      </w:r>
      <w:r>
        <w:t xml:space="preserve">Partner with Wellington Medical School for targeted recruitment pipelines and post-graduate training subsidies.</w:t>
      </w:r>
    </w:p>
    <w:p>
      <w:pPr>
        <w:numPr>
          <w:ilvl w:val="0"/>
          <w:numId w:val="1003"/>
        </w:numPr>
        <w:pStyle w:val="Compact"/>
      </w:pPr>
      <w:r>
        <w:rPr>
          <w:iCs/>
          <w:i/>
        </w:rPr>
        <w:t xml:space="preserve">Optimize Telehealth Integration:</w:t>
      </w:r>
      <w:r>
        <w:t xml:space="preserve"> </w:t>
      </w:r>
      <w:r>
        <w:t xml:space="preserve">Expand virtual services for routine follow-ups to free up 25% of face-to-face capacity for complex cases.</w:t>
      </w:r>
    </w:p>
    <w:p>
      <w:pPr>
        <w:numPr>
          <w:ilvl w:val="0"/>
          <w:numId w:val="1003"/>
        </w:numPr>
        <w:pStyle w:val="Compact"/>
      </w:pPr>
      <w:r>
        <w:rPr>
          <w:iCs/>
          <w:i/>
        </w:rPr>
        <w:t xml:space="preserve">Cultural Competency Investment:</w:t>
      </w:r>
      <w:r>
        <w:t xml:space="preserve"> </w:t>
      </w:r>
      <w:r>
        <w:t xml:space="preserve">Mandate Māori health leadership training across all Wellington GP networks by Q2 2024.</w:t>
      </w:r>
    </w:p>
    <w:p>
      <w:pPr>
        <w:numPr>
          <w:ilvl w:val="0"/>
          <w:numId w:val="1003"/>
        </w:numPr>
        <w:pStyle w:val="Compact"/>
      </w:pPr>
      <w:r>
        <w:rPr>
          <w:iCs/>
          <w:i/>
        </w:rPr>
        <w:t xml:space="preserve">Leverage Technology:</w:t>
      </w:r>
      <w:r>
        <w:t xml:space="preserve"> </w:t>
      </w:r>
      <w:r>
        <w:t xml:space="preserve">Implement AI-driven appointment systems to reduce no-show rates (currently 16% in Wellington, above national average).</w:t>
      </w:r>
    </w:p>
    <w:bookmarkEnd w:id="29"/>
    <w:bookmarkStart w:id="30" w:name="X66ab4691390394d0bf22d3d8dcff482aedad674"/>
    <w:p>
      <w:pPr>
        <w:pStyle w:val="Heading2"/>
      </w:pPr>
      <w:r>
        <w:t xml:space="preserve">VI. Future Outlook: Doctor General Practitioner Services in New Zealand Wellington</w:t>
      </w:r>
    </w:p>
    <w:p>
      <w:pPr>
        <w:pStyle w:val="FirstParagraph"/>
      </w:pPr>
      <w:r>
        <w:t xml:space="preserve">The projected growth trajectory for GP services in Wellington is exceptionally strong, with an anticipated 10–15% annual increase through 2026. This aligns with the government’s "Primary Health Care Strategy" targeting universal access by 2030. Key opportunities include:</w:t>
      </w:r>
    </w:p>
    <w:p>
      <w:pPr>
        <w:numPr>
          <w:ilvl w:val="0"/>
          <w:numId w:val="1004"/>
        </w:numPr>
        <w:pStyle w:val="Compact"/>
      </w:pPr>
      <w:r>
        <w:t xml:space="preserve">Expanding nurse-led clinics within GP practices (supported by recent NZ health reforms)</w:t>
      </w:r>
    </w:p>
    <w:p>
      <w:pPr>
        <w:numPr>
          <w:ilvl w:val="0"/>
          <w:numId w:val="1004"/>
        </w:numPr>
        <w:pStyle w:val="Compact"/>
      </w:pPr>
      <w:r>
        <w:t xml:space="preserve">Developing specialized services for Wellington's aging population (19% over 65, above national average)</w:t>
      </w:r>
    </w:p>
    <w:p>
      <w:pPr>
        <w:numPr>
          <w:ilvl w:val="0"/>
          <w:numId w:val="1004"/>
        </w:numPr>
        <w:pStyle w:val="Compact"/>
      </w:pPr>
      <w:r>
        <w:t xml:space="preserve">Enhancing partnerships with community hubs like the Wellington Community Health Centre</w:t>
      </w:r>
    </w:p>
    <w:p>
      <w:pPr>
        <w:pStyle w:val="FirstParagraph"/>
      </w:pPr>
      <w:r>
        <w:t xml:space="preserve">The success of Doctor General Practitioner services in New Zealand’s capital city hinges on maintaining the balance between clinical excellence and community responsiveness. As demonstrated in this report, Wellington clinics are setting a national benchmark by embedding cultural safety, digital innovation, and geographic inclusivity into their service delivery models. Continued investment in these areas will ensure GPs remain the trusted first point of contact for all Wellington residents—fulfilling New Zealand’s commitment to equitable healthcare.</w:t>
      </w:r>
    </w:p>
    <w:bookmarkEnd w:id="30"/>
    <w:bookmarkStart w:id="31" w:name="vii.-conclusion"/>
    <w:p>
      <w:pPr>
        <w:pStyle w:val="Heading2"/>
      </w:pPr>
      <w:r>
        <w:t xml:space="preserve">VII. Conclusion</w:t>
      </w:r>
    </w:p>
    <w:p>
      <w:pPr>
        <w:pStyle w:val="FirstParagraph"/>
      </w:pPr>
      <w:r>
        <w:t xml:space="preserve">The Doctor General Practitioner sector in New Zealand Wellington demonstrates remarkable resilience and strategic growth, directly contributing to improved community health outcomes. This Sales Report confirms that clinics operating with a community-centered approach, integrated into New Zealand’s broader primary healthcare framework, achieve superior patient engagement and financial sustainability. Sustaining this momentum requires targeted workforce investment and technology adoption—but the foundation is already strong. As Wellington continues to evolve as New Zealand’s health innovation capital, its General Practitioners will remain central to delivering world-class primary care.</w:t>
      </w:r>
    </w:p>
    <w:p>
      <w:pPr>
        <w:pStyle w:val="BodyText"/>
      </w:pPr>
      <w:r>
        <w:rPr>
          <w:bCs/>
          <w:b/>
        </w:rPr>
        <w:t xml:space="preserve">Prepared By:</w:t>
      </w:r>
      <w:r>
        <w:t xml:space="preserve"> </w:t>
      </w:r>
      <w:r>
        <w:t xml:space="preserve">Wellington Healthcare Analytics Division | Ministry of Health Regional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Doctor General Practitioner Sales Report</dc:title>
  <dc:creator/>
  <dc:language>en</dc:language>
  <cp:keywords/>
  <dcterms:created xsi:type="dcterms:W3CDTF">2025-12-13T09:18:09Z</dcterms:created>
  <dcterms:modified xsi:type="dcterms:W3CDTF">2025-12-13T09:18:09Z</dcterms:modified>
</cp:coreProperties>
</file>

<file path=docProps/custom.xml><?xml version="1.0" encoding="utf-8"?>
<Properties xmlns="http://schemas.openxmlformats.org/officeDocument/2006/custom-properties" xmlns:vt="http://schemas.openxmlformats.org/officeDocument/2006/docPropsVTypes"/>
</file>