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Performance</w:t>
      </w:r>
      <w:r>
        <w:t xml:space="preserve"> </w:t>
      </w:r>
      <w:r>
        <w:t xml:space="preserve">Analysis</w:t>
      </w:r>
      <w:r>
        <w:t xml:space="preserve"> </w:t>
      </w:r>
      <w:r>
        <w:t xml:space="preserve">-</w:t>
      </w:r>
      <w:r>
        <w:t xml:space="preserve"> </w:t>
      </w:r>
      <w:r>
        <w:t xml:space="preserve">Lima,</w:t>
      </w:r>
      <w:r>
        <w:t xml:space="preserve"> </w:t>
      </w:r>
      <w:r>
        <w:t xml:space="preserve">Peru</w:t>
      </w:r>
    </w:p>
    <w:bookmarkStart w:id="28" w:name="X962a3bdb5b340a9581660a27a484f9dd6efc686"/>
    <w:p>
      <w:pPr>
        <w:pStyle w:val="Heading1"/>
      </w:pPr>
      <w:r>
        <w:t xml:space="preserve">Comprehensive Sales Performance Report: General Practitioner Services in Lima, Peru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Committee, Lima Metropolitan Area</w:t>
      </w:r>
      <w:r>
        <w:br/>
      </w:r>
      <w:r>
        <w:rPr>
          <w:bCs/>
          <w:b/>
        </w:rPr>
        <w:t xml:space="preserve">Report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Sales Report details the performance metrics and market dynamics of General Practitioner (GP) services across private healthcare clinics in Lima, Peru. The analysis confirms that GP services remain the most consistently utilized primary care offering within the private sector, driving 68% of all patient consultations in participating clinics. Despite economic challenges affecting household spending, demand for accessible GP appointments grew by 5.2% quarter-over-quarter (QoQ), demonstrating resilience in Lima's healthcare market. This report provides actionable insights for optimizing service delivery and enhancing patient acquisition strategies specific to the Lima demographic.</w:t>
      </w:r>
    </w:p>
    <w:bookmarkEnd w:id="20"/>
    <w:bookmarkStart w:id="21" w:name="X746dd499e1cb264d1fe888c0ea6d6e186edc390"/>
    <w:p>
      <w:pPr>
        <w:pStyle w:val="Heading2"/>
      </w:pPr>
      <w:r>
        <w:t xml:space="preserve">Market Context: General Practitioner Services in Lima</w:t>
      </w:r>
    </w:p>
    <w:p>
      <w:pPr>
        <w:pStyle w:val="FirstParagraph"/>
      </w:pPr>
      <w:r>
        <w:t xml:space="preserve">Lima, the capital city of Peru with a population exceeding 10 million, faces significant healthcare accessibility challenges. The public system (SIS) often experiences high patient volumes and wait times, driving approximately 45% of Lima's middle and upper-income population to seek services through private clinics. General Practitioners serve as the critical first point of contact for primary care needs – managing common illnesses (respiratory infections, hypertension, diabetes), preventive check-ups, vaccinations, and referrals. In this context, "Sales" refers not to selling a product but to the successful delivery of GP consultation services and their associated revenue streams within Lima's competitive healthcare market.</w:t>
      </w:r>
    </w:p>
    <w:bookmarkEnd w:id="21"/>
    <w:bookmarkStart w:id="23" w:name="key-performance-indicators-q3-2023"/>
    <w:p>
      <w:pPr>
        <w:pStyle w:val="Heading2"/>
      </w:pPr>
      <w:r>
        <w:t xml:space="preserve">Key Performance Indicators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 (QoQ)</w:t>
      </w:r>
    </w:p>
    <w:p>
      <w:pPr>
        <w:pStyle w:val="BodyText"/>
      </w:pPr>
      <w:r>
        <w:t xml:space="preserve">Total GP Consultations (Lima Clinics)</w:t>
      </w:r>
    </w:p>
    <w:p>
      <w:pPr>
        <w:pStyle w:val="BodyText"/>
      </w:pPr>
      <w:r>
        <w:t xml:space="preserve">18,450</w:t>
      </w:r>
    </w:p>
    <w:p>
      <w:pPr>
        <w:pStyle w:val="BodyText"/>
      </w:pPr>
      <w:r>
        <w:t xml:space="preserve">17,540</w:t>
      </w:r>
    </w:p>
    <w:p>
      <w:pPr>
        <w:pStyle w:val="BodyText"/>
      </w:pPr>
      <w:r>
        <w:t xml:space="preserve">+5.2%</w:t>
      </w:r>
    </w:p>
    <w:p>
      <w:pPr>
        <w:pStyle w:val="BodyText"/>
      </w:pPr>
      <w:r>
        <w:t xml:space="preserve">Avg. Revenue per GP Consultation (USD)</w:t>
      </w:r>
    </w:p>
    <w:p>
      <w:pPr>
        <w:pStyle w:val="BodyText"/>
      </w:pPr>
      <w:r>
        <w:t xml:space="preserve">$32.80</w:t>
      </w:r>
    </w:p>
    <w:p>
      <w:pPr>
        <w:pStyle w:val="BodyText"/>
      </w:pPr>
      <w:r>
        <w:t xml:space="preserve">TBD - Q2 Data Pending (Est: $31.50)</w:t>
      </w:r>
    </w:p>
    <w:p>
      <w:pPr>
        <w:pStyle w:val="BodyText"/>
      </w:pPr>
      <w:r>
        <w:t xml:space="preserve">Repeat Patient Rate</w:t>
      </w:r>
    </w:p>
    <w:p>
      <w:pPr>
        <w:pStyle w:val="BodyText"/>
      </w:pPr>
      <w:r>
        <w:t xml:space="preserve">42.7%</w:t>
      </w:r>
    </w:p>
    <w:p>
      <w:pPr>
        <w:pStyle w:val="BodyText"/>
      </w:pPr>
      <w:r>
        <w:t xml:space="preserve">40.1%</w:t>
      </w:r>
    </w:p>
    <w:p>
      <w:pPr>
        <w:pStyle w:val="BodyText"/>
      </w:pPr>
      <w:r>
        <w:t xml:space="preserve">+2.6%</w:t>
      </w:r>
    </w:p>
    <w:p>
      <w:pPr>
        <w:pStyle w:val="BodyText"/>
      </w:pPr>
      <w:r>
        <w:t xml:space="preserve">New Patient Acquisition Rate</w:t>
      </w:r>
    </w:p>
    <w:p>
      <w:pPr>
        <w:pStyle w:val="BodyText"/>
      </w:pPr>
      <w:r>
        <w:t xml:space="preserve">N/A (Focus on Retention)</w:t>
      </w:r>
    </w:p>
    <w:p>
      <w:pPr>
        <w:pStyle w:val="BodyText"/>
      </w:pPr>
      <w:r>
        <w:t xml:space="preserve">Total GP Service Revenue (Lima)</w:t>
      </w:r>
    </w:p>
    <w:p>
      <w:pPr>
        <w:pStyle w:val="BodyText"/>
      </w:pPr>
      <w:r>
        <w:t xml:space="preserve">$604,065</w:t>
      </w:r>
    </w:p>
    <w:p>
      <w:pPr>
        <w:pStyle w:val="BodyText"/>
      </w:pPr>
      <w:r>
        <w:t xml:space="preserve">$552,510</w:t>
      </w:r>
    </w:p>
    <w:p>
      <w:pPr>
        <w:pStyle w:val="BodyText"/>
      </w:pPr>
      <w:r>
        <w:t xml:space="preserve">+9.3%</w:t>
      </w:r>
    </w:p>
    <w:bookmarkStart w:id="22" w:name="analysis-of-performance-drivers"/>
    <w:p>
      <w:pPr>
        <w:pStyle w:val="Heading3"/>
      </w:pPr>
      <w:r>
        <w:t xml:space="preserve">Analysis of Performance Drivers:</w:t>
      </w:r>
    </w:p>
    <w:p>
      <w:pPr>
        <w:numPr>
          <w:ilvl w:val="0"/>
          <w:numId w:val="1001"/>
        </w:numPr>
        <w:pStyle w:val="Compact"/>
      </w:pPr>
      <w:r>
        <w:rPr>
          <w:bCs/>
          <w:b/>
        </w:rPr>
        <w:t xml:space="preserve">Seasonal Demand Surge:</w:t>
      </w:r>
      <w:r>
        <w:t xml:space="preserve"> </w:t>
      </w:r>
      <w:r>
        <w:t xml:space="preserve">Increased consultations for seasonal respiratory illnesses (June-July) and annual health check-up campaigns (August-September) contributed significantly to Q3 growth. GP services are consistently the top service category, accounting for 68% of all private clinic visits.</w:t>
      </w:r>
    </w:p>
    <w:p>
      <w:pPr>
        <w:numPr>
          <w:ilvl w:val="0"/>
          <w:numId w:val="1001"/>
        </w:numPr>
        <w:pStyle w:val="Compact"/>
      </w:pPr>
      <w:r>
        <w:rPr>
          <w:bCs/>
          <w:b/>
        </w:rPr>
        <w:t xml:space="preserve">Retention is Key:</w:t>
      </w:r>
      <w:r>
        <w:t xml:space="preserve"> </w:t>
      </w:r>
      <w:r>
        <w:t xml:space="preserve">The 42.7% repeat patient rate underscores the value of trust and continuity in GP care within Lima's market. Patients seeking ongoing management for chronic conditions (e.g., diabetes, hypertension) demonstrate strong loyalty to their primary GP.</w:t>
      </w:r>
    </w:p>
    <w:p>
      <w:pPr>
        <w:numPr>
          <w:ilvl w:val="0"/>
          <w:numId w:val="1001"/>
        </w:numPr>
        <w:pStyle w:val="Compact"/>
      </w:pPr>
      <w:r>
        <w:rPr>
          <w:bCs/>
          <w:b/>
        </w:rPr>
        <w:t xml:space="preserve">Pricing Resilience:</w:t>
      </w:r>
      <w:r>
        <w:t xml:space="preserve"> </w:t>
      </w:r>
      <w:r>
        <w:t xml:space="preserve">Despite inflationary pressures in Peru (5.8% YoY), the average consultation price increased by 4.1% QoQ without significant patient attrition, indicating perceived value and necessity of GP services for Lima residents.</w:t>
      </w:r>
    </w:p>
    <w:bookmarkEnd w:id="22"/>
    <w:bookmarkEnd w:id="23"/>
    <w:bookmarkStart w:id="24" w:name="Xb6dbaf8fd95297aa6c3529fa839ce60c7ef69d5"/>
    <w:p>
      <w:pPr>
        <w:pStyle w:val="Heading2"/>
      </w:pPr>
      <w:r>
        <w:t xml:space="preserve">Geographic &amp; Demographic Performance: Lima Focus</w:t>
      </w:r>
    </w:p>
    <w:p>
      <w:pPr>
        <w:pStyle w:val="FirstParagraph"/>
      </w:pPr>
      <w:r>
        <w:t xml:space="preserve">Performance varied meaningfully across Lima's diverse districts, reflecting socioeconomic factors:</w:t>
      </w:r>
    </w:p>
    <w:p>
      <w:pPr>
        <w:numPr>
          <w:ilvl w:val="0"/>
          <w:numId w:val="1002"/>
        </w:numPr>
        <w:pStyle w:val="Compact"/>
      </w:pPr>
      <w:r>
        <w:rPr>
          <w:bCs/>
          <w:b/>
        </w:rPr>
        <w:t xml:space="preserve">Lima Centro (Urban Core):</w:t>
      </w:r>
      <w:r>
        <w:t xml:space="preserve"> </w:t>
      </w:r>
      <w:r>
        <w:t xml:space="preserve">Highest consultation volume (38% of total). Demand driven by corporate clients and expatriate communities. Strong repeat rate (46.5%). Focus on preventive care and chronic disease management.</w:t>
      </w:r>
    </w:p>
    <w:bookmarkEnd w:id="24"/>
    <w:bookmarkStart w:id="25" w:name="key-challenges-in-the-lima-market"/>
    <w:p>
      <w:pPr>
        <w:pStyle w:val="Heading2"/>
      </w:pPr>
      <w:r>
        <w:t xml:space="preserve">Key Challenges in the Lima Market</w:t>
      </w:r>
    </w:p>
    <w:p>
      <w:pPr>
        <w:pStyle w:val="FirstParagraph"/>
      </w:pPr>
      <w:r>
        <w:t xml:space="preserve">Despite strong performance, several challenges impact the "Sales" (service delivery and uptake) of Doctor General Practitioner services:</w:t>
      </w:r>
    </w:p>
    <w:p>
      <w:pPr>
        <w:numPr>
          <w:ilvl w:val="0"/>
          <w:numId w:val="1003"/>
        </w:numPr>
        <w:pStyle w:val="Compact"/>
      </w:pPr>
      <w:r>
        <w:rPr>
          <w:bCs/>
          <w:b/>
        </w:rPr>
        <w:t xml:space="preserve">Access Disparities:</w:t>
      </w:r>
      <w:r>
        <w:t xml:space="preserve"> </w:t>
      </w:r>
      <w:r>
        <w:t xml:space="preserve">Significant gap exists between affluent districts (Lince, Miraflores) and underserved areas (Callao, many peripheral districts). 32% of Lima's population resides in zones where GP availability is limited.</w:t>
      </w:r>
    </w:p>
    <w:p>
      <w:pPr>
        <w:numPr>
          <w:ilvl w:val="0"/>
          <w:numId w:val="1003"/>
        </w:numPr>
        <w:pStyle w:val="Compact"/>
      </w:pPr>
      <w:r>
        <w:rPr>
          <w:bCs/>
          <w:b/>
        </w:rPr>
        <w:t xml:space="preserve">Insurance Fragmentation:</w:t>
      </w:r>
      <w:r>
        <w:t xml:space="preserve"> </w:t>
      </w:r>
      <w:r>
        <w:t xml:space="preserve">Complex reimbursement processes with multiple private insurers (e.g., Minka, Medifé) create administrative burdens for clinics offering GP services. Streamlining insurance claims is critical for sustained growth.</w:t>
      </w:r>
    </w:p>
    <w:p>
      <w:pPr>
        <w:numPr>
          <w:ilvl w:val="0"/>
          <w:numId w:val="1003"/>
        </w:numPr>
        <w:pStyle w:val="Compact"/>
      </w:pPr>
      <w:r>
        <w:rPr>
          <w:bCs/>
          <w:b/>
        </w:rPr>
        <w:t xml:space="preserve">Competition &amp; Price Sensitivity:</w:t>
      </w:r>
      <w:r>
        <w:t xml:space="preserve"> </w:t>
      </w:r>
      <w:r>
        <w:t xml:space="preserve">Aggressive pricing in mid-tier clinics leads to price wars on basic consultations. Value proposition beyond just the consultation (e.g., integrated care, digital health tools) is becoming essential.</w:t>
      </w:r>
    </w:p>
    <w:bookmarkEnd w:id="25"/>
    <w:bookmarkStart w:id="26" w:name="Xfa609e6ee731cecfed54fd73dc0c0647ffc9e3d"/>
    <w:p>
      <w:pPr>
        <w:pStyle w:val="Heading2"/>
      </w:pPr>
      <w:r>
        <w:t xml:space="preserve">Strategic Recommendations for Optimizing GP Service "Sales" in Lima</w:t>
      </w:r>
    </w:p>
    <w:p>
      <w:pPr>
        <w:pStyle w:val="FirstParagraph"/>
      </w:pPr>
      <w:r>
        <w:t xml:space="preserve">To capitalize on the strong market demand and address challenges, we recommend:</w:t>
      </w:r>
    </w:p>
    <w:p>
      <w:pPr>
        <w:numPr>
          <w:ilvl w:val="0"/>
          <w:numId w:val="1004"/>
        </w:numPr>
        <w:pStyle w:val="Compact"/>
      </w:pPr>
      <w:r>
        <w:rPr>
          <w:bCs/>
          <w:b/>
        </w:rPr>
        <w:t xml:space="preserve">Expand Mobile GP Clinics to Underserved Zones:</w:t>
      </w:r>
      <w:r>
        <w:t xml:space="preserve"> </w:t>
      </w:r>
      <w:r>
        <w:t xml:space="preserve">Partner with local community centers in Comas, El Agustino, and Callao to deploy mobile units offering basic consultations. This directly addresses access disparity (a major barrier to service uptake) and builds patient trust from the ground up.</w:t>
      </w:r>
    </w:p>
    <w:p>
      <w:pPr>
        <w:numPr>
          <w:ilvl w:val="0"/>
          <w:numId w:val="1004"/>
        </w:numPr>
        <w:pStyle w:val="Compact"/>
      </w:pPr>
      <w:r>
        <w:rPr>
          <w:bCs/>
          <w:b/>
        </w:rPr>
        <w:t xml:space="preserve">Develop Tiered GP Service Packages:</w:t>
      </w:r>
      <w:r>
        <w:t xml:space="preserve"> </w:t>
      </w:r>
      <w:r>
        <w:t xml:space="preserve">Introduce clear packages (e.g., "Wellness Basics" - $25/visit, "Chronic Care Management" - $45/visit + monthly monitoring). This caters to diverse income levels across Lima while increasing average revenue per patient.</w:t>
      </w:r>
    </w:p>
    <w:p>
      <w:pPr>
        <w:numPr>
          <w:ilvl w:val="0"/>
          <w:numId w:val="1004"/>
        </w:numPr>
        <w:pStyle w:val="Compact"/>
      </w:pPr>
      <w:r>
        <w:rPr>
          <w:bCs/>
          <w:b/>
        </w:rPr>
        <w:t xml:space="preserve">Enhance Insurance Partnership Programs:</w:t>
      </w:r>
      <w:r>
        <w:t xml:space="preserve"> </w:t>
      </w:r>
      <w:r>
        <w:t xml:space="preserve">Proactively negotiate standardized reimbursement rates and digital claim processing with major insurers. Reducing administrative friction improves clinic efficiency and ensures smoother patient access – directly impacting "sales" volume.</w:t>
      </w:r>
    </w:p>
    <w:p>
      <w:pPr>
        <w:numPr>
          <w:ilvl w:val="0"/>
          <w:numId w:val="1004"/>
        </w:numPr>
        <w:pStyle w:val="Compact"/>
      </w:pPr>
      <w:r>
        <w:rPr>
          <w:bCs/>
          <w:b/>
        </w:rPr>
        <w:t xml:space="preserve">Invest in Digital Patient Engagement:</w:t>
      </w:r>
      <w:r>
        <w:t xml:space="preserve"> </w:t>
      </w:r>
      <w:r>
        <w:t xml:space="preserve">Implement a simple, Spanish-language app for appointment scheduling, basic symptom checkers (triage), and secure messaging with GPs. This reduces no-shows (currently 18% in Lima clinics) and improves the patient experience – key to retention.</w:t>
      </w:r>
    </w:p>
    <w:bookmarkEnd w:id="26"/>
    <w:bookmarkStart w:id="27" w:name="conclusion"/>
    <w:p>
      <w:pPr>
        <w:pStyle w:val="Heading2"/>
      </w:pPr>
      <w:r>
        <w:t xml:space="preserve">Conclusion</w:t>
      </w:r>
    </w:p>
    <w:p>
      <w:pPr>
        <w:pStyle w:val="FirstParagraph"/>
      </w:pPr>
      <w:r>
        <w:t xml:space="preserve">The General Practitioner service remains the cornerstone of primary care "sales" within Lima's private healthcare market. The consistent growth in consultations (5.2% QoQ) and revenue (9.3% QoQ) underscores its critical role in meeting the population's health needs, particularly as Peru navigates economic pressures. Success hinges on addressing geographic access barriers, streamlining insurance processes, and enhancing the patient value proposition beyond the basic consultation. By strategically deploying resources to underserved districts in Lima and optimizing service delivery models for diverse socioeconomic groups – focusing on both affordability and quality – clinics can significantly expand their GP service "sales" while strengthening community health outcomes. The Doctor General Practitioner is not merely a provider; they are the essential frontline of accessible healthcare, and this report confirms their vital role in Peru's urban healthcare ecosystem, especially within the dynamic market of Lima.</w:t>
      </w:r>
    </w:p>
    <w:p>
      <w:pPr>
        <w:pStyle w:val="BodyText"/>
      </w:pPr>
      <w:r>
        <w:rPr>
          <w:bCs/>
          <w:b/>
        </w:rPr>
        <w:t xml:space="preserve">Total 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General Practitioner Services Performance Analysis - Lima, Peru</dc:title>
  <dc:creator/>
  <cp:keywords/>
  <dcterms:created xsi:type="dcterms:W3CDTF">2026-07-20T09:22:36Z</dcterms:created>
  <dcterms:modified xsi:type="dcterms:W3CDTF">2026-07-20T09:22:36Z</dcterms:modified>
</cp:coreProperties>
</file>

<file path=docProps/custom.xml><?xml version="1.0" encoding="utf-8"?>
<Properties xmlns="http://schemas.openxmlformats.org/officeDocument/2006/custom-properties" xmlns:vt="http://schemas.openxmlformats.org/officeDocument/2006/docPropsVTypes"/>
</file>