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Market</w:t>
      </w:r>
      <w:r>
        <w:t xml:space="preserve"> </w:t>
      </w:r>
      <w:r>
        <w:t xml:space="preserve">in</w:t>
      </w:r>
      <w:r>
        <w:t xml:space="preserve"> </w:t>
      </w:r>
      <w:r>
        <w:t xml:space="preserve">Philippines</w:t>
      </w:r>
      <w:r>
        <w:t xml:space="preserve"> </w:t>
      </w:r>
      <w:r>
        <w:t xml:space="preserve">Manila</w:t>
      </w:r>
    </w:p>
    <w:bookmarkStart w:id="29" w:name="quarterly-sales-performance-report"/>
    <w:p>
      <w:pPr>
        <w:pStyle w:val="Heading1"/>
      </w:pPr>
      <w:r>
        <w:t xml:space="preserve">Quarterly Sales Performance Report</w:t>
      </w:r>
    </w:p>
    <w:bookmarkStart w:id="20" w:name="Xec1523815385a1e2b008a92bb2f642634d457a5"/>
    <w:p>
      <w:pPr>
        <w:pStyle w:val="Heading2"/>
      </w:pPr>
      <w:r>
        <w:t xml:space="preserve">Doctor General Practitioner Market Analysis - Philippines Manila</w:t>
      </w:r>
    </w:p>
    <w:p>
      <w:pPr>
        <w:pStyle w:val="FirstParagraph"/>
      </w:pPr>
      <w:r>
        <w:t xml:space="preserve">Prepared for Healthcare Management Division | Q3 2023 | Manila, Philippines</w:t>
      </w:r>
    </w:p>
    <w:bookmarkEnd w:id="20"/>
    <w:bookmarkStart w:id="21" w:name="executive-summary"/>
    <w:p>
      <w:pPr>
        <w:pStyle w:val="Heading2"/>
      </w:pPr>
      <w:r>
        <w:t xml:space="preserve">Executive Summary</w:t>
      </w:r>
    </w:p>
    <w:p>
      <w:pPr>
        <w:pStyle w:val="FirstParagraph"/>
      </w:pPr>
      <w:r>
        <w:t xml:space="preserve">This Sales Report presents comprehensive analysis of medical services and product sales performance targeting Doctor General Practitioners (DGPs) across Metro Manila, Philippines. The report details a 12% year-over-year growth in service engagements, driven by increased patient consultations and strategic partnerships with primary care clinics. As the backbone of the Philippine healthcare system, Doctor General Practitioners in Manila have demonstrated exceptional resilience amid evolving healthcare demands, directly contributing to our company's strong market position in this critical sector.</w:t>
      </w:r>
    </w:p>
    <w:bookmarkEnd w:id="21"/>
    <w:bookmarkStart w:id="22" w:name="Xa9be685779af3cf81260462a20e8b1d2d0e9c9e"/>
    <w:p>
      <w:pPr>
        <w:pStyle w:val="Heading2"/>
      </w:pPr>
      <w:r>
        <w:t xml:space="preserve">Market Context: Philippines Manila Healthcare Landscape</w:t>
      </w:r>
    </w:p>
    <w:p>
      <w:pPr>
        <w:pStyle w:val="FirstParagraph"/>
      </w:pPr>
      <w:r>
        <w:t xml:space="preserve">The Philippines Manila region serves as the nation's healthcare epicenter, housing over 60% of the country's private medical facilities. With a population exceeding 13 million in Metro Manila alone, Doctor General Practitioners operate at the frontline of community health delivery. This Sales Report confirms that DGPs account for approximately 78% of all primary care consultations in our service territory, making them indispensable partners for medical supply distributors and telehealth providers. Recent Department of Health initiatives emphasizing "Universal Healthcare" have further intensified demand for streamlined clinical support systems among Doctor General Practitioners across Manila barangays.</w:t>
      </w:r>
    </w:p>
    <w:bookmarkEnd w:id="22"/>
    <w:bookmarkStart w:id="23" w:name="sales-performance-highlights-q3-2023"/>
    <w:p>
      <w:pPr>
        <w:pStyle w:val="Heading2"/>
      </w:pPr>
      <w:r>
        <w:t xml:space="preserve">Sales Performance Highlights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 Change</w:t>
            </w:r>
          </w:p>
        </w:tc>
      </w:tr>
      <w:tr>
        <w:tc>
          <w:tcPr/>
          <w:p>
            <w:pPr>
              <w:pStyle w:val="Compact"/>
              <w:jc w:val="left"/>
            </w:pPr>
            <w:r>
              <w:t xml:space="preserve">Number of Doctor General Practitioner Partners</w:t>
            </w:r>
          </w:p>
        </w:tc>
        <w:tc>
          <w:tcPr/>
          <w:p>
            <w:pPr>
              <w:pStyle w:val="Compact"/>
              <w:jc w:val="left"/>
            </w:pPr>
            <w:r>
              <w:t xml:space="preserve">247 clinics</w:t>
            </w:r>
          </w:p>
        </w:tc>
        <w:tc>
          <w:tcPr/>
          <w:p>
            <w:pPr>
              <w:pStyle w:val="Compact"/>
              <w:jc w:val="left"/>
            </w:pPr>
            <w:r>
              <w:t xml:space="preserve">213 clinics</w:t>
            </w:r>
          </w:p>
        </w:tc>
        <w:tc>
          <w:tcPr/>
          <w:p>
            <w:pPr>
              <w:pStyle w:val="Compact"/>
              <w:jc w:val="left"/>
            </w:pPr>
            <w:r>
              <w:t xml:space="preserve">+16.0%</w:t>
            </w:r>
          </w:p>
        </w:tc>
      </w:tr>
      <w:tr>
        <w:tc>
          <w:tcPr/>
          <w:p>
            <w:pPr>
              <w:pStyle w:val="Compact"/>
              <w:jc w:val="left"/>
            </w:pPr>
            <w:r>
              <w:t xml:space="preserve">Total Consultation Volume (Monthly Avg.)</w:t>
            </w:r>
          </w:p>
        </w:tc>
        <w:tc>
          <w:tcPr/>
          <w:p>
            <w:pPr>
              <w:pStyle w:val="Compact"/>
              <w:jc w:val="left"/>
            </w:pPr>
            <w:r>
              <w:t xml:space="preserve">48,500 patients</w:t>
            </w:r>
          </w:p>
        </w:tc>
        <w:tc>
          <w:tcPr/>
          <w:p>
            <w:pPr>
              <w:pStyle w:val="Compact"/>
              <w:jc w:val="left"/>
            </w:pPr>
            <w:r>
              <w:t xml:space="preserve">43,200 patients</w:t>
            </w:r>
          </w:p>
        </w:tc>
        <w:tc>
          <w:tcPr/>
          <w:p>
            <w:pPr>
              <w:pStyle w:val="Compact"/>
              <w:jc w:val="left"/>
            </w:pPr>
            <w:r>
              <w:t xml:space="preserve">+12.3%</w:t>
            </w:r>
          </w:p>
        </w:tc>
      </w:tr>
      <w:tr>
        <w:tc>
          <w:tcPr/>
          <w:p>
            <w:pPr>
              <w:pStyle w:val="Compact"/>
              <w:jc w:val="left"/>
            </w:pPr>
            <w:r>
              <w:t xml:space="preserve">Diagnostic Product Sales (PHP)</w:t>
            </w:r>
          </w:p>
        </w:tc>
        <w:tc>
          <w:tcPr/>
          <w:p>
            <w:pPr>
              <w:pStyle w:val="Compact"/>
              <w:jc w:val="left"/>
            </w:pPr>
            <w:r>
              <w:t xml:space="preserve">₱8.7M</w:t>
            </w:r>
          </w:p>
        </w:tc>
        <w:tc>
          <w:tcPr/>
          <w:p>
            <w:pPr>
              <w:pStyle w:val="Compact"/>
              <w:jc w:val="left"/>
            </w:pPr>
            <w:r>
              <w:t xml:space="preserve">₱7.9M</w:t>
            </w:r>
          </w:p>
        </w:tc>
        <w:tc>
          <w:tcPr/>
          <w:p>
            <w:pPr>
              <w:pStyle w:val="Compact"/>
              <w:jc w:val="left"/>
            </w:pPr>
            <w:r>
              <w:t xml:space="preserve">+10.2%</w:t>
            </w:r>
          </w:p>
        </w:tc>
      </w:tr>
      <w:tr>
        <w:tc>
          <w:tcPr/>
          <w:p>
            <w:pPr>
              <w:pStyle w:val="Compact"/>
              <w:jc w:val="left"/>
            </w:pPr>
            <w:r>
              <w:t xml:space="preserve">Telehealth Service Uptake</w:t>
            </w:r>
          </w:p>
        </w:tc>
        <w:tc>
          <w:tcPr/>
          <w:p>
            <w:pPr>
              <w:pStyle w:val="Compact"/>
              <w:jc w:val="left"/>
            </w:pPr>
            <w:r>
              <w:t xml:space="preserve">38% of DGPs</w:t>
            </w:r>
          </w:p>
        </w:tc>
        <w:tc>
          <w:tcPr/>
          <w:p>
            <w:pPr>
              <w:pStyle w:val="Compact"/>
              <w:jc w:val="left"/>
            </w:pPr>
            <w:r>
              <w:t xml:space="preserve">29% of DGPs</w:t>
            </w:r>
          </w:p>
        </w:tc>
        <w:tc>
          <w:tcPr/>
          <w:p>
            <w:pPr>
              <w:pStyle w:val="Compact"/>
              <w:jc w:val="left"/>
            </w:pPr>
            <w:r>
              <w:t xml:space="preserve">+9.0%</w:t>
            </w:r>
          </w:p>
        </w:tc>
      </w:tr>
    </w:tbl>
    <w:p>
      <w:pPr>
        <w:pStyle w:val="BodyText"/>
      </w:pPr>
      <w:r>
        <w:t xml:space="preserve">The 16% increase in Doctor General Practitioner partnerships represents our strongest quarterly growth since entering the Philippines Manila market. This surge correlates directly with our recent partnership with the Philippine Medical Association (PMA) to provide subsidized digital health tools for primary care providers. Notably, telehealth service adoption among DGPs reached 38% in Q3—a 9-point jump from previous quarter—demonstrating their strategic pivot toward technology-enabled patient management.</w:t>
      </w:r>
    </w:p>
    <w:bookmarkEnd w:id="23"/>
    <w:bookmarkStart w:id="24" w:name="geographic-sales-breakdown"/>
    <w:p>
      <w:pPr>
        <w:pStyle w:val="Heading2"/>
      </w:pPr>
      <w:r>
        <w:t xml:space="preserve">Geographic Sales Breakdown</w:t>
      </w:r>
    </w:p>
    <w:p>
      <w:pPr>
        <w:pStyle w:val="FirstParagraph"/>
      </w:pPr>
      <w:r>
        <w:t xml:space="preserve">Manila's diverse urban landscape reveals distinct regional sales patterns among Doctor General Practitioners:</w:t>
      </w:r>
    </w:p>
    <w:p>
      <w:pPr>
        <w:numPr>
          <w:ilvl w:val="0"/>
          <w:numId w:val="1001"/>
        </w:numPr>
        <w:pStyle w:val="Compact"/>
      </w:pPr>
      <w:r>
        <w:rPr>
          <w:bCs/>
          <w:b/>
        </w:rPr>
        <w:t xml:space="preserve">Quezon City (28% share):</w:t>
      </w:r>
      <w:r>
        <w:t xml:space="preserve"> </w:t>
      </w:r>
      <w:r>
        <w:t xml:space="preserve">Highest growth segment due to new government health centers opening in eastern districts, driving demand for portable diagnostic kits.</w:t>
      </w:r>
    </w:p>
    <w:p>
      <w:pPr>
        <w:numPr>
          <w:ilvl w:val="0"/>
          <w:numId w:val="1001"/>
        </w:numPr>
        <w:pStyle w:val="Compact"/>
      </w:pPr>
      <w:r>
        <w:rPr>
          <w:bCs/>
          <w:b/>
        </w:rPr>
        <w:t xml:space="preserve">Mandaluyong (22% share):</w:t>
      </w:r>
      <w:r>
        <w:t xml:space="preserve"> </w:t>
      </w:r>
      <w:r>
        <w:t xml:space="preserve">Strong telemedicine adoption among DGPs serving corporate wellness programs for business districts.</w:t>
      </w:r>
    </w:p>
    <w:p>
      <w:pPr>
        <w:numPr>
          <w:ilvl w:val="0"/>
          <w:numId w:val="1001"/>
        </w:numPr>
        <w:pStyle w:val="Compact"/>
      </w:pPr>
      <w:r>
        <w:rPr>
          <w:bCs/>
          <w:b/>
        </w:rPr>
        <w:t xml:space="preserve">San Juan &amp; Makati (19% share):</w:t>
      </w:r>
      <w:r>
        <w:t xml:space="preserve"> </w:t>
      </w:r>
      <w:r>
        <w:t xml:space="preserve">Premium service focus with 67% of clinics purchasing integrated EHR systems.</w:t>
      </w:r>
    </w:p>
    <w:p>
      <w:pPr>
        <w:numPr>
          <w:ilvl w:val="0"/>
          <w:numId w:val="1001"/>
        </w:numPr>
        <w:pStyle w:val="Compact"/>
      </w:pPr>
      <w:r>
        <w:rPr>
          <w:bCs/>
          <w:b/>
        </w:rPr>
        <w:t xml:space="preserve">Tondo &amp; Ermita (15% share):</w:t>
      </w:r>
      <w:r>
        <w:t xml:space="preserve"> </w:t>
      </w:r>
      <w:r>
        <w:t xml:space="preserve">Highest volume growth in basic diagnostic supplies amid community health initiatives.</w:t>
      </w:r>
    </w:p>
    <w:bookmarkEnd w:id="24"/>
    <w:bookmarkStart w:id="25" w:name="key-growth-drivers"/>
    <w:p>
      <w:pPr>
        <w:pStyle w:val="Heading2"/>
      </w:pPr>
      <w:r>
        <w:t xml:space="preserve">Key Growth Drivers</w:t>
      </w:r>
    </w:p>
    <w:p>
      <w:pPr>
        <w:pStyle w:val="FirstParagraph"/>
      </w:pPr>
      <w:r>
        <w:t xml:space="preserve">This Sales Report identifies three critical success factors for expanding Doctor General Practitioner partnerships in Philippines Manila:</w:t>
      </w:r>
    </w:p>
    <w:p>
      <w:pPr>
        <w:numPr>
          <w:ilvl w:val="0"/>
          <w:numId w:val="1002"/>
        </w:numPr>
        <w:pStyle w:val="Compact"/>
      </w:pPr>
      <w:r>
        <w:rPr>
          <w:bCs/>
          <w:b/>
        </w:rPr>
        <w:t xml:space="preserve">Localized Product Solutions:</w:t>
      </w:r>
      <w:r>
        <w:t xml:space="preserve"> </w:t>
      </w:r>
      <w:r>
        <w:t xml:space="preserve">Development of "Manila Clinic Starter Kits" including culturally appropriate diagnostic tools and bilingual patient forms significantly boosted adoption among DGPs in informal settlements.</w:t>
      </w:r>
    </w:p>
    <w:p>
      <w:pPr>
        <w:numPr>
          <w:ilvl w:val="0"/>
          <w:numId w:val="1002"/>
        </w:numPr>
        <w:pStyle w:val="Compact"/>
      </w:pPr>
      <w:r>
        <w:rPr>
          <w:bCs/>
          <w:b/>
        </w:rPr>
        <w:t xml:space="preserve">Government Collaboration:</w:t>
      </w:r>
      <w:r>
        <w:t xml:space="preserve"> </w:t>
      </w:r>
      <w:r>
        <w:t xml:space="preserve">Our PMA partnership enabled direct access to 1,200+ Doctor General Practitioners through the National Health Insurance Corporation (PhilHealth) reimbursement portal integration.</w:t>
      </w:r>
    </w:p>
    <w:p>
      <w:pPr>
        <w:numPr>
          <w:ilvl w:val="0"/>
          <w:numId w:val="1002"/>
        </w:numPr>
        <w:pStyle w:val="Compact"/>
      </w:pPr>
      <w:r>
        <w:rPr>
          <w:bCs/>
          <w:b/>
        </w:rPr>
        <w:t xml:space="preserve">Mobile Sales Force:</w:t>
      </w:r>
      <w:r>
        <w:t xml:space="preserve"> </w:t>
      </w:r>
      <w:r>
        <w:t xml:space="preserve">Dedicated field representatives in Manila's traffic-congested districts achieved 47% higher conversion rates by offering on-site demonstrations during clinic lulls.</w:t>
      </w:r>
    </w:p>
    <w:bookmarkEnd w:id="25"/>
    <w:bookmarkStart w:id="26" w:name="challenges-strategic-responses"/>
    <w:p>
      <w:pPr>
        <w:pStyle w:val="Heading2"/>
      </w:pPr>
      <w:r>
        <w:t xml:space="preserve">Challenges &amp; Strategic Responses</w:t>
      </w:r>
    </w:p>
    <w:p>
      <w:pPr>
        <w:pStyle w:val="FirstParagraph"/>
      </w:pPr>
      <w:r>
        <w:t xml:space="preserve">The Sales Report notes several market-specific challenges in the Philippines Manila environment:</w:t>
      </w:r>
    </w:p>
    <w:p>
      <w:pPr>
        <w:numPr>
          <w:ilvl w:val="0"/>
          <w:numId w:val="1003"/>
        </w:numPr>
        <w:pStyle w:val="Compact"/>
      </w:pPr>
      <w:r>
        <w:rPr>
          <w:bCs/>
          <w:b/>
        </w:rPr>
        <w:t xml:space="preserve">Supply Chain Disruptions:</w:t>
      </w:r>
      <w:r>
        <w:t xml:space="preserve"> </w:t>
      </w:r>
      <w:r>
        <w:t xml:space="preserve">Port congestion at Manila International Terminal impacted delivery timelines by 3-4 days. *Response:* Established warehouse hub in Valenzuela City to reduce last-mile delivery time to ≤24 hours.</w:t>
      </w:r>
    </w:p>
    <w:p>
      <w:pPr>
        <w:numPr>
          <w:ilvl w:val="0"/>
          <w:numId w:val="1003"/>
        </w:numPr>
        <w:pStyle w:val="Compact"/>
      </w:pPr>
      <w:r>
        <w:rPr>
          <w:bCs/>
          <w:b/>
        </w:rPr>
        <w:t xml:space="preserve">Clinic Space Limitations:</w:t>
      </w:r>
      <w:r>
        <w:t xml:space="preserve"> </w:t>
      </w:r>
      <w:r>
        <w:t xml:space="preserve">Many Doctor General Practitioner offices lack dedicated storage for medical supplies. *Response:* Introduced compact, modular inventory systems that fit standard clinic counters.</w:t>
      </w:r>
    </w:p>
    <w:p>
      <w:pPr>
        <w:numPr>
          <w:ilvl w:val="0"/>
          <w:numId w:val="1003"/>
        </w:numPr>
        <w:pStyle w:val="Compact"/>
      </w:pPr>
      <w:r>
        <w:rPr>
          <w:bCs/>
          <w:b/>
        </w:rPr>
        <w:t xml:space="preserve">Regulatory Compliance:</w:t>
      </w:r>
      <w:r>
        <w:t xml:space="preserve"> </w:t>
      </w:r>
      <w:r>
        <w:t xml:space="preserve">Frequent changes to Philippine FDA requirements for diagnostic equipment. *Response:* Created dedicated compliance team monitoring Bureau of Food and Drugs updates daily.</w:t>
      </w:r>
    </w:p>
    <w:bookmarkEnd w:id="26"/>
    <w:bookmarkStart w:id="27" w:name="future-growth-projections"/>
    <w:p>
      <w:pPr>
        <w:pStyle w:val="Heading2"/>
      </w:pPr>
      <w:r>
        <w:t xml:space="preserve">Future Growth Projections</w:t>
      </w:r>
    </w:p>
    <w:p>
      <w:pPr>
        <w:pStyle w:val="FirstParagraph"/>
      </w:pPr>
      <w:r>
        <w:t xml:space="preserve">Based on current trajectory, this Sales Report forecasts a 15-18% annual growth in Doctor General Practitioner sales for the Philippines Manila region. Key initiatives include:</w:t>
      </w:r>
    </w:p>
    <w:p>
      <w:pPr>
        <w:numPr>
          <w:ilvl w:val="0"/>
          <w:numId w:val="1004"/>
        </w:numPr>
        <w:pStyle w:val="Compact"/>
      </w:pPr>
      <w:r>
        <w:t xml:space="preserve">Expanding "DGP Care Packages" to include mental health screening tools, addressing rising anxiety disorders post-pandemic in Manila communities.</w:t>
      </w:r>
    </w:p>
    <w:p>
      <w:pPr>
        <w:numPr>
          <w:ilvl w:val="0"/>
          <w:numId w:val="1004"/>
        </w:numPr>
        <w:pStyle w:val="Compact"/>
      </w:pPr>
      <w:r>
        <w:t xml:space="preserve">Launching a mobile app for Doctor General Practitioners allowing real-time inventory management and patient follow-ups—currently in beta testing with 120 clinics.</w:t>
      </w:r>
    </w:p>
    <w:p>
      <w:pPr>
        <w:numPr>
          <w:ilvl w:val="0"/>
          <w:numId w:val="1004"/>
        </w:numPr>
        <w:pStyle w:val="Compact"/>
      </w:pPr>
      <w:r>
        <w:t xml:space="preserve">Developing partnerships with Philippine nursing schools to create DGP training programs, ensuring future workforce readiness across Manila barangays.</w:t>
      </w:r>
    </w:p>
    <w:bookmarkEnd w:id="27"/>
    <w:bookmarkStart w:id="28" w:name="conclusion"/>
    <w:p>
      <w:pPr>
        <w:pStyle w:val="Heading2"/>
      </w:pPr>
      <w:r>
        <w:t xml:space="preserve">Conclusion</w:t>
      </w:r>
    </w:p>
    <w:p>
      <w:pPr>
        <w:pStyle w:val="FirstParagraph"/>
      </w:pPr>
      <w:r>
        <w:t xml:space="preserve">This comprehensive Sales Report affirms that Doctor General Practitioners in the Philippines Manila region represent a dynamic and rapidly growing market segment. Their pivotal role in community healthcare delivery, coupled with strategic adoption of technology solutions, has driven exceptional performance for our organization. We remain committed to supporting these essential medical providers through tailored products and services designed specifically for Manila's unique urban healthcare challenges.</w:t>
      </w:r>
    </w:p>
    <w:p>
      <w:pPr>
        <w:pStyle w:val="BodyText"/>
      </w:pPr>
      <w:r>
        <w:t xml:space="preserve">As we move toward Q4 2023, our focus remains on deepening relationships with Doctor General Practitioners across all 17 districts of Metro Manila while maintaining strict adherence to Philippine healthcare regulations. The continued success of this market segment is not merely a business opportunity—it represents a meaningful contribution to the health and well-being of millions within the Philippines Manila community.</w:t>
      </w:r>
    </w:p>
    <w:p>
      <w:pPr>
        <w:pStyle w:val="BodyText"/>
      </w:pPr>
      <w:r>
        <w:t xml:space="preserve">Prepared by Sales Strategy Division | Manila, Philippines</w:t>
      </w:r>
    </w:p>
    <w:p>
      <w:pPr>
        <w:pStyle w:val="BodyText"/>
      </w:pPr>
      <w:r>
        <w:t xml:space="preserve">Report Date: October 26, 2023 | Confidential - For Internal Use Only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Doctor General Practitioner Market in Philippines Manila</dc:title>
  <dc:creator/>
  <dc:language>en</dc:language>
  <cp:keywords/>
  <dcterms:created xsi:type="dcterms:W3CDTF">2026-07-23T02:27:45Z</dcterms:created>
  <dcterms:modified xsi:type="dcterms:W3CDTF">2026-07-23T02:27:45Z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