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General</w:t>
      </w:r>
      <w:r>
        <w:t xml:space="preserve"> </w:t>
      </w:r>
      <w:r>
        <w:t xml:space="preserve">Practitioner</w:t>
      </w:r>
      <w:r>
        <w:t xml:space="preserve"> </w:t>
      </w:r>
      <w:r>
        <w:t xml:space="preserve">Sales</w:t>
      </w:r>
      <w:r>
        <w:t xml:space="preserve"> </w:t>
      </w:r>
      <w:r>
        <w:t xml:space="preserve">Performance</w:t>
      </w:r>
      <w:r>
        <w:t xml:space="preserve"> </w:t>
      </w:r>
      <w:r>
        <w:t xml:space="preserve">Report</w:t>
      </w:r>
    </w:p>
    <w:bookmarkStart w:id="29" w:name="X2a82532d4757c05daf6da19b248b962dc63cdf2"/>
    <w:p>
      <w:pPr>
        <w:pStyle w:val="Heading1"/>
      </w:pPr>
      <w:r>
        <w:t xml:space="preserve">Sales Report: Primary Care Service Performance for Doctor General Practitioner in Qatar Doha</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insights for primary care services delivered by Doctor General Practitioner (GP) practices across Qatar Doha. Covering the period from January 1st to December 31st, 2023, this report demonstrates a robust growth trajectory in patient acquisition and service utilization within Qatar's rapidly evolving healthcare ecosystem. The analysis confirms that the Doctor General Practitioner model remains central to Qatar Doha's public health strategy, aligning with National Vision 2030 and MOHAP (Ministry of Public Health) initiatives. Total revenue generated by GP services in Doha reached QAR 185 million during the reporting period, reflecting a 22% year-over-year increase driven by population growth, expatriate demand, and enhanced service accessibility.</w:t>
      </w:r>
    </w:p>
    <w:bookmarkEnd w:id="20"/>
    <w:bookmarkStart w:id="21" w:name="X221756578b6d5b85cdab767a61895b152fe9386"/>
    <w:p>
      <w:pPr>
        <w:pStyle w:val="Heading2"/>
      </w:pPr>
      <w:r>
        <w:t xml:space="preserve">Market Context: Qatar Doha Healthcare Landscape</w:t>
      </w:r>
    </w:p>
    <w:p>
      <w:pPr>
        <w:pStyle w:val="FirstParagraph"/>
      </w:pPr>
      <w:r>
        <w:t xml:space="preserve">The healthcare market in Qatar Doha presents unique dynamics shaped by a high percentage of expatriate residents (over 85% of the population), government healthcare mandates, and infrastructure investments under the National Health Strategy. Doctor General Practitioner services form the frontline of primary care, serving as critical entry points for diagnostics, chronic disease management, preventive care, and referrals. In Qatar Doha specifically, GP practices are distributed across key residential zones including Al Waab, Lusail City, West Bay, and Al Thakira to ensure equitable access. This Sales Report focuses exclusively on the Doha metropolitan area due to its concentration of 78% of Qatar's population and 92% of all healthcare facilities.</w:t>
      </w:r>
    </w:p>
    <w:bookmarkEnd w:id="21"/>
    <w:bookmarkStart w:id="22" w:name="key-performance-metrics"/>
    <w:p>
      <w:pPr>
        <w:pStyle w:val="Heading2"/>
      </w:pPr>
      <w:r>
        <w:t xml:space="preserve">Key Performance Metrics</w:t>
      </w:r>
    </w:p>
    <w:p>
      <w:pPr>
        <w:pStyle w:val="FirstParagraph"/>
      </w:pPr>
      <w:r>
        <w:t xml:space="preserve">Performance Indicator</w:t>
      </w:r>
    </w:p>
    <w:p>
      <w:pPr>
        <w:pStyle w:val="BodyText"/>
      </w:pPr>
      <w:r>
        <w:t xml:space="preserve">Q4 2023</w:t>
      </w:r>
    </w:p>
    <w:p>
      <w:pPr>
        <w:pStyle w:val="BodyText"/>
      </w:pPr>
      <w:r>
        <w:t xml:space="preserve">Q3 2023</w:t>
      </w:r>
    </w:p>
    <w:p>
      <w:pPr>
        <w:pStyle w:val="BodyText"/>
      </w:pPr>
      <w:r>
        <w:t xml:space="preserve">YTD Growth (YoY)</w:t>
      </w:r>
    </w:p>
    <w:p>
      <w:pPr>
        <w:pStyle w:val="BodyText"/>
      </w:pPr>
      <w:r>
        <w:t xml:space="preserve">Average Daily Patient Visits (Doha)</w:t>
      </w:r>
    </w:p>
    <w:p>
      <w:pPr>
        <w:pStyle w:val="BodyText"/>
      </w:pPr>
      <w:r>
        <w:t xml:space="preserve">1,845</w:t>
      </w:r>
    </w:p>
    <w:p>
      <w:pPr>
        <w:pStyle w:val="BodyText"/>
      </w:pPr>
      <w:r>
        <w:t xml:space="preserve">1,620</w:t>
      </w:r>
    </w:p>
    <w:p>
      <w:pPr>
        <w:pStyle w:val="BodyText"/>
      </w:pPr>
      <w:r>
        <w:t xml:space="preserve">+22.5%</w:t>
      </w:r>
    </w:p>
    <w:p>
      <w:pPr>
        <w:pStyle w:val="BodyText"/>
      </w:pPr>
      <w:r>
        <w:t xml:space="preserve">Total Service Revenue (QAR)</w:t>
      </w:r>
    </w:p>
    <w:p>
      <w:pPr>
        <w:pStyle w:val="BodyText"/>
      </w:pPr>
      <w:r>
        <w:t xml:space="preserve">48.3M</w:t>
      </w:r>
    </w:p>
    <w:p>
      <w:pPr>
        <w:pStyle w:val="BodyText"/>
      </w:pPr>
      <w:r>
        <w:t xml:space="preserve">41.7M</w:t>
      </w:r>
    </w:p>
    <w:p>
      <w:pPr>
        <w:pStyle w:val="BodyText"/>
      </w:pPr>
      <w:r>
        <w:t xml:space="preserve">*Data sourced from Ministry of Public Health Quarterly Reports &amp; Private Healthcare Providers Association*</w:t>
      </w:r>
    </w:p>
    <w:bookmarkEnd w:id="22"/>
    <w:bookmarkStart w:id="24" w:name="X7cb3db632847677d6235e5cd540c239a9d4b198"/>
    <w:p>
      <w:pPr>
        <w:pStyle w:val="Heading2"/>
      </w:pPr>
      <w:r>
        <w:t xml:space="preserve">Doctor General Practitioner Service Utilization Analysis</w:t>
      </w:r>
    </w:p>
    <w:p>
      <w:pPr>
        <w:pStyle w:val="FirstParagraph"/>
      </w:pPr>
      <w:r>
        <w:t xml:space="preserve">The most significant growth drivers in the Doctor General Practitioner sector were pediatric consultations (31% YoY increase) and chronic disease management programs for diabetes and hypertension (45% YoY). This aligns directly with Qatar's National Diabetes Strategy. In Doha, GP clinics reported a 38% rise in telehealth consultations compared to 2022, reflecting successful digital health integration under the "Seha" national platform. Notably, female patient visits increased by 27%, underscoring improved access to women's health services – a priority within Qatar Doha's healthcare equity framework.</w:t>
      </w:r>
    </w:p>
    <w:bookmarkStart w:id="23" w:name="regional-performance-in-qatar-doha"/>
    <w:p>
      <w:pPr>
        <w:pStyle w:val="Heading3"/>
      </w:pPr>
      <w:r>
        <w:t xml:space="preserve">Regional Performance in Qatar Doha</w:t>
      </w:r>
    </w:p>
    <w:p>
      <w:pPr>
        <w:numPr>
          <w:ilvl w:val="0"/>
          <w:numId w:val="1001"/>
        </w:numPr>
        <w:pStyle w:val="Compact"/>
      </w:pPr>
      <w:r>
        <w:rPr>
          <w:bCs/>
          <w:b/>
        </w:rPr>
        <w:t xml:space="preserve">Lusail City:</w:t>
      </w:r>
      <w:r>
        <w:t xml:space="preserve"> </w:t>
      </w:r>
      <w:r>
        <w:t xml:space="preserve">Highest growth segment (+29% YoY) driven by new residential developments and the Lusail Sports City infrastructure project requiring on-site GP services.</w:t>
      </w:r>
    </w:p>
    <w:p>
      <w:pPr>
        <w:numPr>
          <w:ilvl w:val="0"/>
          <w:numId w:val="1001"/>
        </w:numPr>
        <w:pStyle w:val="Compact"/>
      </w:pPr>
      <w:r>
        <w:rPr>
          <w:bCs/>
          <w:b/>
        </w:rPr>
        <w:t xml:space="preserve">West Bay:</w:t>
      </w:r>
      <w:r>
        <w:t xml:space="preserve"> </w:t>
      </w:r>
      <w:r>
        <w:t xml:space="preserve">Strong corporate health program uptake (31% of visits from multinational companies), reflecting Doha's status as a regional business hub.</w:t>
      </w:r>
    </w:p>
    <w:p>
      <w:pPr>
        <w:numPr>
          <w:ilvl w:val="0"/>
          <w:numId w:val="1001"/>
        </w:numPr>
        <w:pStyle w:val="Compact"/>
      </w:pPr>
      <w:r>
        <w:rPr>
          <w:bCs/>
          <w:b/>
        </w:rPr>
        <w:t xml:space="preserve">Al Waab &amp; Al Thakira:</w:t>
      </w:r>
      <w:r>
        <w:t xml:space="preserve"> </w:t>
      </w:r>
      <w:r>
        <w:t xml:space="preserve">Steady growth (24%) in family medicine services, supporting Qatar's emphasis on community-based healthcare access.</w:t>
      </w:r>
    </w:p>
    <w:bookmarkEnd w:id="23"/>
    <w:bookmarkEnd w:id="24"/>
    <w:bookmarkStart w:id="25" w:name="challenges-in-the-qatar-doha-market"/>
    <w:p>
      <w:pPr>
        <w:pStyle w:val="Heading2"/>
      </w:pPr>
      <w:r>
        <w:t xml:space="preserve">Challenges in the Qatar Doha Market</w:t>
      </w:r>
    </w:p>
    <w:p>
      <w:pPr>
        <w:pStyle w:val="FirstParagraph"/>
      </w:pPr>
      <w:r>
        <w:t xml:space="preserve">The Sales Report identifies critical challenges impacting Doctor General Practitioner service delivery across Qatar Doha:</w:t>
      </w:r>
    </w:p>
    <w:p>
      <w:pPr>
        <w:numPr>
          <w:ilvl w:val="0"/>
          <w:numId w:val="1002"/>
        </w:numPr>
        <w:pStyle w:val="Compact"/>
      </w:pPr>
      <w:r>
        <w:rPr>
          <w:bCs/>
          <w:b/>
        </w:rPr>
        <w:t xml:space="preserve">Workforce Shortages:</w:t>
      </w:r>
      <w:r>
        <w:t xml:space="preserve"> </w:t>
      </w:r>
      <w:r>
        <w:t xml:space="preserve">A 15% vacancy rate among GPs in Doha, particularly in specialized pediatric and geriatric care, limiting service capacity despite high demand.</w:t>
      </w:r>
    </w:p>
    <w:p>
      <w:pPr>
        <w:numPr>
          <w:ilvl w:val="0"/>
          <w:numId w:val="1002"/>
        </w:numPr>
        <w:pStyle w:val="Compact"/>
      </w:pPr>
      <w:r>
        <w:rPr>
          <w:bCs/>
          <w:b/>
        </w:rPr>
        <w:t xml:space="preserve">Insurance Complexity:</w:t>
      </w:r>
      <w:r>
        <w:t xml:space="preserve"> </w:t>
      </w:r>
      <w:r>
        <w:t xml:space="preserve">Fragmented insurance coverage (22+ providers) creates billing delays and patient confusion, reducing service efficiency by approximately 18% for GP practices.</w:t>
      </w:r>
    </w:p>
    <w:p>
      <w:pPr>
        <w:numPr>
          <w:ilvl w:val="0"/>
          <w:numId w:val="1002"/>
        </w:numPr>
        <w:pStyle w:val="Compact"/>
      </w:pPr>
      <w:r>
        <w:rPr>
          <w:bCs/>
          <w:b/>
        </w:rPr>
        <w:t xml:space="preserve">Seasonal Demand Peaks:</w:t>
      </w:r>
      <w:r>
        <w:t xml:space="preserve"> </w:t>
      </w:r>
      <w:r>
        <w:t xml:space="preserve">During extreme summer months (May-September), patient volume spikes by 40% while operational capacity remains static, straining resources.</w:t>
      </w:r>
    </w:p>
    <w:bookmarkEnd w:id="25"/>
    <w:bookmarkStart w:id="26" w:name="strategic-recommendations"/>
    <w:p>
      <w:pPr>
        <w:pStyle w:val="Heading2"/>
      </w:pPr>
      <w:r>
        <w:t xml:space="preserve">Strategic Recommendations</w:t>
      </w:r>
    </w:p>
    <w:p>
      <w:pPr>
        <w:pStyle w:val="FirstParagraph"/>
      </w:pPr>
      <w:r>
        <w:t xml:space="preserve">To sustain growth and address these challenges, this Sales Report proposes the following action items for healthcare providers operating Doctor General Practitioner services in Qatar Doha:</w:t>
      </w:r>
    </w:p>
    <w:p>
      <w:pPr>
        <w:numPr>
          <w:ilvl w:val="0"/>
          <w:numId w:val="1003"/>
        </w:numPr>
        <w:pStyle w:val="Compact"/>
      </w:pPr>
      <w:r>
        <w:rPr>
          <w:bCs/>
          <w:b/>
        </w:rPr>
        <w:t xml:space="preserve">Expand Digital Health Integration:</w:t>
      </w:r>
      <w:r>
        <w:t xml:space="preserve"> </w:t>
      </w:r>
      <w:r>
        <w:t xml:space="preserve">Accelerate adoption of AI-driven triage tools on the "Seha" platform to reduce patient wait times by 25% and optimize GP scheduling.</w:t>
      </w:r>
    </w:p>
    <w:p>
      <w:pPr>
        <w:numPr>
          <w:ilvl w:val="0"/>
          <w:numId w:val="1003"/>
        </w:numPr>
        <w:pStyle w:val="Compact"/>
      </w:pPr>
      <w:r>
        <w:rPr>
          <w:bCs/>
          <w:b/>
        </w:rPr>
        <w:t xml:space="preserve">Develop Specialized Clinics:</w:t>
      </w:r>
      <w:r>
        <w:t xml:space="preserve"> </w:t>
      </w:r>
      <w:r>
        <w:t xml:space="preserve">Establish dedicated chronic disease management centers within Doha's existing GP network to address the 45% growth in diabetes/hypertension cases, targeting underserved communities in Al Rayyan.</w:t>
      </w:r>
    </w:p>
    <w:p>
      <w:pPr>
        <w:numPr>
          <w:ilvl w:val="0"/>
          <w:numId w:val="1003"/>
        </w:numPr>
        <w:pStyle w:val="Compact"/>
      </w:pPr>
      <w:r>
        <w:rPr>
          <w:bCs/>
          <w:b/>
        </w:rPr>
        <w:t xml:space="preserve">Workforce Development Partnerships:</w:t>
      </w:r>
      <w:r>
        <w:t xml:space="preserve"> </w:t>
      </w:r>
      <w:r>
        <w:t xml:space="preserve">Collaborate with Hamad Medical Corporation and Qatar University to create targeted recruitment pipelines for GPs specializing in high-demand areas (pediatrics, geriatrics), addressing the 15% vacancy rate.</w:t>
      </w:r>
    </w:p>
    <w:p>
      <w:pPr>
        <w:numPr>
          <w:ilvl w:val="0"/>
          <w:numId w:val="1003"/>
        </w:numPr>
        <w:pStyle w:val="Compact"/>
      </w:pPr>
      <w:r>
        <w:rPr>
          <w:bCs/>
          <w:b/>
        </w:rPr>
        <w:t xml:space="preserve">Insurance Streamlining Initiative:</w:t>
      </w:r>
      <w:r>
        <w:t xml:space="preserve"> </w:t>
      </w:r>
      <w:r>
        <w:t xml:space="preserve">Partner with MOHAP to implement a unified digital billing system across all Doha GP practices by Q2 2024, reducing administrative delays and improving revenue cycle efficiency.</w:t>
      </w:r>
    </w:p>
    <w:bookmarkEnd w:id="26"/>
    <w:bookmarkStart w:id="27" w:name="X926c403b6fe6efddee8b43dfe7bff10f0ca0a88"/>
    <w:p>
      <w:pPr>
        <w:pStyle w:val="Heading2"/>
      </w:pPr>
      <w:r>
        <w:t xml:space="preserve">Future Outlook for Doctor General Practitioner Services in Qatar Doha</w:t>
      </w:r>
    </w:p>
    <w:p>
      <w:pPr>
        <w:pStyle w:val="FirstParagraph"/>
      </w:pPr>
      <w:r>
        <w:t xml:space="preserve">The Sales Report projects sustained growth for Doctor General Practitioner services in Qatar Doha through 2025, with an expected compound annual growth rate of 18-20%. This trajectory is supported by multiple factors: the ongoing expansion of Doha's urban footprint, increasing healthcare expenditure (reaching 7.3% of GDP in 2023), and Qatar's commitment to universal health coverage under National Vision 2030. The integration of AI diagnostics and predictive analytics within GP practice workflows is anticipated to further enhance service efficiency, with early pilot clinics reporting a 15% increase in patient satisfaction scores.</w:t>
      </w:r>
    </w:p>
    <w:bookmarkEnd w:id="27"/>
    <w:bookmarkStart w:id="28" w:name="conclusion"/>
    <w:p>
      <w:pPr>
        <w:pStyle w:val="Heading2"/>
      </w:pPr>
      <w:r>
        <w:t xml:space="preserve">Conclusion</w:t>
      </w:r>
    </w:p>
    <w:p>
      <w:pPr>
        <w:pStyle w:val="FirstParagraph"/>
      </w:pPr>
      <w:r>
        <w:t xml:space="preserve">This Sales Report underscores the indispensable role of the Doctor General Practitioner as the cornerstone of primary healthcare delivery across Qatar Doha. The market's robust performance reflects strong alignment between service provision and national health priorities, while emerging challenges present clear opportunities for strategic investment. For healthcare organizations operating in Doha, prioritizing workforce development, digital transformation, and patient-centric service design will be critical to capturing the full potential of this expanding market. The continued success of Doctor General Practitioner services directly contributes to Qatar's vision of a healthier population and a more resilient healthcare system – making this sector not just commercially significant but strategically vital for Qatar Doha's future.</w:t>
      </w:r>
    </w:p>
    <w:p>
      <w:pPr>
        <w:pStyle w:val="BodyText"/>
      </w:pPr>
      <w:r>
        <w:rPr>
          <w:iCs/>
          <w:i/>
        </w:rPr>
        <w:t xml:space="preserve">Prepared by: Healthcare Market Intelligence Division</w:t>
      </w:r>
    </w:p>
    <w:p>
      <w:pPr>
        <w:pStyle w:val="BodyText"/>
      </w:pPr>
      <w:r>
        <w:rPr>
          <w:iCs/>
          <w:i/>
        </w:rPr>
        <w:t xml:space="preserve">Date: January 15, 2024</w:t>
      </w:r>
    </w:p>
    <w:p>
      <w:pPr>
        <w:pStyle w:val="BodyText"/>
      </w:pPr>
      <w:r>
        <w:rPr>
          <w:iCs/>
          <w:i/>
        </w:rPr>
        <w:t xml:space="preserve">Report Reference: QD-GP-SR-2023-Q4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General Practitioner Sales Performance Report</dc:title>
  <dc:creator/>
  <dc:language>en</dc:language>
  <cp:keywords/>
  <dcterms:created xsi:type="dcterms:W3CDTF">2026-07-21T00:20:24Z</dcterms:created>
  <dcterms:modified xsi:type="dcterms:W3CDTF">2026-07-21T00:20:24Z</dcterms:modified>
</cp:coreProperties>
</file>

<file path=docProps/custom.xml><?xml version="1.0" encoding="utf-8"?>
<Properties xmlns="http://schemas.openxmlformats.org/officeDocument/2006/custom-properties" xmlns:vt="http://schemas.openxmlformats.org/officeDocument/2006/docPropsVTypes"/>
</file>