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9" w:name="Xa2924464d7c21b98a6a124194222637135e6934"/>
    <w:p>
      <w:pPr>
        <w:pStyle w:val="Heading1"/>
      </w:pPr>
      <w:r>
        <w:t xml:space="preserve">Annual Sales Performance Report: General Practitioner Services Market Analysis &amp; Strategy (Moscow, Russia)</w:t>
      </w:r>
    </w:p>
    <w:bookmarkStart w:id="20" w:name="prepared-for-executive-leadership-team"/>
    <w:p>
      <w:pPr>
        <w:pStyle w:val="Heading2"/>
      </w:pPr>
      <w:r>
        <w:t xml:space="preserve">Prepared For: Executive Leadership Team</w:t>
      </w:r>
    </w:p>
    <w:p>
      <w:pPr>
        <w:pStyle w:val="FirstParagraph"/>
      </w:pPr>
      <w:r>
        <w:t xml:space="preserve">Date: October 26, 2023</w:t>
      </w:r>
    </w:p>
    <w:p>
      <w:r>
        <w:pict>
          <v:rect style="width:0;height:1.5pt" o:hralign="center" o:hrstd="t" o:hr="t"/>
        </w:pict>
      </w:r>
    </w:p>
    <w:bookmarkEnd w:id="20"/>
    <w:bookmarkStart w:id="21" w:name="i.-executive-summary"/>
    <w:p>
      <w:pPr>
        <w:pStyle w:val="Heading2"/>
      </w:pPr>
      <w:r>
        <w:t xml:space="preserve">I. Executive Summary</w:t>
      </w:r>
    </w:p>
    <w:p>
      <w:pPr>
        <w:pStyle w:val="FirstParagraph"/>
      </w:pPr>
      <w:r>
        <w:t xml:space="preserve">This Sales Report presents a detailed analysis of the General Practitioner (GP) services market within Russia Moscow during Q1-Q3 2023. The report confirms that Moscow's healthcare sector is experiencing unprecedented growth in demand for primary care physicians, with our company capturing 18.7% market share through strategic partnerships with leading clinics across the capital. Despite economic headwinds, GP services demonstrated 24% year-over-year revenue growth, establishing Russia Moscow as a high-potential market for healthcare provider solutions. Critical focus areas include digital integration and specialized chronic disease management within the Russian medical landscape.</w:t>
      </w:r>
    </w:p>
    <w:bookmarkEnd w:id="21"/>
    <w:bookmarkStart w:id="22" w:name="Xcb6d01b6bd00b1ffe0d08b37f9295db54047054"/>
    <w:p>
      <w:pPr>
        <w:pStyle w:val="Heading2"/>
      </w:pPr>
      <w:r>
        <w:t xml:space="preserve">II. Market Context: Russia Moscow General Practitioner Landscape</w:t>
      </w:r>
    </w:p>
    <w:p>
      <w:pPr>
        <w:pStyle w:val="FirstParagraph"/>
      </w:pPr>
      <w:r>
        <w:t xml:space="preserve">Moscow represents 15% of Russia's total population yet accounts for 32% of the nation's healthcare expenditure. With a physician-to-patient ratio of 1:1,800 (below WHO standards), General Practitioners face immense pressure to deliver efficient care. The Russian Ministry of Health's "Primary Care Development Program" has accelerated demand for GPs through mandatory insurance reforms (OМС), requiring all citizens to register with a primary care physician. This regulatory shift has created a $120M annual market opportunity specifically for GP support services in Moscow alone.</w:t>
      </w:r>
    </w:p>
    <w:bookmarkEnd w:id="22"/>
    <w:bookmarkStart w:id="23" w:name="Xb7d2e5beb788b63a3097d55158c35ab9f74e337"/>
    <w:p>
      <w:pPr>
        <w:pStyle w:val="Heading2"/>
      </w:pPr>
      <w:r>
        <w:t xml:space="preserve">III. Sales Performance Dashboard: Russia Moscow</w:t>
      </w:r>
    </w:p>
    <w:p>
      <w:pPr>
        <w:pStyle w:val="FirstParagraph"/>
      </w:pPr>
      <w:r>
        <w:t xml:space="preserve">KPI</w:t>
      </w:r>
    </w:p>
    <w:p>
      <w:pPr>
        <w:pStyle w:val="BodyText"/>
      </w:pPr>
      <w:r>
        <w:t xml:space="preserve">Q3 2023</w:t>
      </w:r>
    </w:p>
    <w:p>
      <w:pPr>
        <w:pStyle w:val="BodyText"/>
      </w:pPr>
      <w:r>
        <w:t xml:space="preserve">Q3 2022 (YoY)</w:t>
      </w:r>
    </w:p>
    <w:p>
      <w:pPr>
        <w:pStyle w:val="BodyText"/>
      </w:pPr>
      <w:r>
        <w:t xml:space="preserve">Target</w:t>
      </w:r>
    </w:p>
    <w:p>
      <w:pPr>
        <w:pStyle w:val="BodyText"/>
      </w:pPr>
      <w:r>
        <w:t xml:space="preserve">Sales Revenue (RUB)</w:t>
      </w:r>
    </w:p>
    <w:p>
      <w:pPr>
        <w:pStyle w:val="BodyText"/>
      </w:pPr>
      <w:r>
        <w:t xml:space="preserve">14.8B</w:t>
      </w:r>
    </w:p>
    <w:p>
      <w:pPr>
        <w:pStyle w:val="BodyText"/>
      </w:pPr>
      <w:r>
        <w:t xml:space="preserve">+24.1%</w:t>
      </w:r>
    </w:p>
    <w:p>
      <w:pPr>
        <w:pStyle w:val="BodyText"/>
      </w:pPr>
      <w:r>
        <w:t xml:space="preserve">13.5B</w:t>
      </w:r>
    </w:p>
    <w:p>
      <w:pPr>
        <w:pStyle w:val="BodyText"/>
      </w:pPr>
      <w:r>
        <w:t xml:space="preserve">New GP Clinic Partnerships</w:t>
      </w:r>
    </w:p>
    <w:p>
      <w:pPr>
        <w:pStyle w:val="BodyText"/>
      </w:pPr>
      <w:r>
        <w:t xml:space="preserve">87</w:t>
      </w:r>
    </w:p>
    <w:p>
      <w:pPr>
        <w:pStyle w:val="BodyText"/>
      </w:pPr>
      <w:r>
        <w:t xml:space="preserve">+36.2%64</w:t>
      </w:r>
    </w:p>
    <w:p>
      <w:pPr>
        <w:pStyle w:val="BodyText"/>
      </w:pPr>
      <w:r>
        <w:t xml:space="preserve">Avg. Contract Value (RUB)</w:t>
      </w:r>
    </w:p>
    <w:p>
      <w:pPr>
        <w:pStyle w:val="BodyText"/>
      </w:pPr>
      <w:r>
        <w:t xml:space="preserve">170,000/mo</w:t>
      </w:r>
    </w:p>
    <w:p>
      <w:pPr>
        <w:pStyle w:val="BodyText"/>
      </w:pPr>
      <w:r>
        <w:t xml:space="preserve">+8.5%</w:t>
      </w:r>
    </w:p>
    <w:p>
      <w:pPr>
        <w:pStyle w:val="BodyText"/>
      </w:pPr>
      <w:r>
        <w:t xml:space="preserve">Clinic Retention Rate</w:t>
      </w:r>
    </w:p>
    <w:p>
      <w:pPr>
        <w:pStyle w:val="BodyText"/>
      </w:pPr>
      <w:r>
        <w:t xml:space="preserve">92.3%</w:t>
      </w:r>
    </w:p>
    <w:bookmarkEnd w:id="23"/>
    <w:bookmarkStart w:id="24" w:name="iv.-key-growth-drivers-in-moscow-market"/>
    <w:p>
      <w:pPr>
        <w:pStyle w:val="Heading2"/>
      </w:pPr>
      <w:r>
        <w:t xml:space="preserve">IV. Key Growth Drivers in Moscow Market</w:t>
      </w:r>
    </w:p>
    <w:p>
      <w:pPr>
        <w:numPr>
          <w:ilvl w:val="0"/>
          <w:numId w:val="1001"/>
        </w:numPr>
        <w:pStyle w:val="Compact"/>
      </w:pPr>
      <w:r>
        <w:rPr>
          <w:bCs/>
          <w:b/>
        </w:rPr>
        <w:t xml:space="preserve">Digital Health Adoption:</w:t>
      </w:r>
      <w:r>
        <w:t xml:space="preserve"> </w:t>
      </w:r>
      <w:r>
        <w:t xml:space="preserve">78% of Moscow-based General Practitioners now utilize integrated EHR systems (up from 41% in 2020), driving our telemedicine platform sales by 63% YoY. Our "GPConnect" solution saw record uptake at 31 clinics/mo in Q3.</w:t>
      </w:r>
    </w:p>
    <w:p>
      <w:pPr>
        <w:numPr>
          <w:ilvl w:val="0"/>
          <w:numId w:val="1001"/>
        </w:numPr>
        <w:pStyle w:val="Compact"/>
      </w:pPr>
      <w:r>
        <w:rPr>
          <w:bCs/>
          <w:b/>
        </w:rPr>
        <w:t xml:space="preserve">Chronic Disease Management Demand:</w:t>
      </w:r>
      <w:r>
        <w:t xml:space="preserve"> </w:t>
      </w:r>
      <w:r>
        <w:t xml:space="preserve">Rising diabetes and cardiovascular cases (up 19% in Moscow since 2021) created premium demand for our specialized GP care bundles, accounting for 45% of new contracts.</w:t>
      </w:r>
    </w:p>
    <w:p>
      <w:pPr>
        <w:numPr>
          <w:ilvl w:val="0"/>
          <w:numId w:val="1001"/>
        </w:numPr>
        <w:pStyle w:val="Compact"/>
      </w:pPr>
      <w:r>
        <w:rPr>
          <w:bCs/>
          <w:b/>
        </w:rPr>
        <w:t xml:space="preserve">Russian Healthcare Reforms:</w:t>
      </w:r>
      <w:r>
        <w:t xml:space="preserve"> </w:t>
      </w:r>
      <w:r>
        <w:t xml:space="preserve">The mandatory "GP Registration" policy (effective January 2023) generated immediate demand, with our sales team closing 127 contracts within the first month of implementation across Moscow districts.</w:t>
      </w:r>
    </w:p>
    <w:bookmarkEnd w:id="24"/>
    <w:bookmarkStart w:id="25" w:name="Xeff7754e999104e8bb850f65c63b74069785715"/>
    <w:p>
      <w:pPr>
        <w:pStyle w:val="Heading2"/>
      </w:pPr>
      <w:r>
        <w:t xml:space="preserve">V. Competitive Analysis: Russia Moscow GP Market</w:t>
      </w:r>
    </w:p>
    <w:p>
      <w:pPr>
        <w:pStyle w:val="FirstParagraph"/>
      </w:pPr>
      <w:r>
        <w:t xml:space="preserve">Our competitive position remains strong against regional players (e.g., MedSputnik, Doctor 4U) due to our localized approach:</w:t>
      </w:r>
    </w:p>
    <w:p>
      <w:pPr>
        <w:numPr>
          <w:ilvl w:val="0"/>
          <w:numId w:val="1002"/>
        </w:numPr>
        <w:pStyle w:val="Compact"/>
      </w:pPr>
      <w:r>
        <w:rPr>
          <w:bCs/>
          <w:b/>
        </w:rPr>
        <w:t xml:space="preserve">Localized Content:</w:t>
      </w:r>
      <w:r>
        <w:t xml:space="preserve"> </w:t>
      </w:r>
      <w:r>
        <w:t xml:space="preserve">Our Russian-language EHR modules with mandatory OМС billing integration outperform generic solutions by 37% in clinic adoption rates.</w:t>
      </w:r>
    </w:p>
    <w:p>
      <w:pPr>
        <w:numPr>
          <w:ilvl w:val="0"/>
          <w:numId w:val="1002"/>
        </w:numPr>
        <w:pStyle w:val="Compact"/>
      </w:pPr>
      <w:r>
        <w:rPr>
          <w:bCs/>
          <w:b/>
        </w:rPr>
        <w:t xml:space="preserve">Training Programs:</w:t>
      </w:r>
      <w:r>
        <w:t xml:space="preserve"> </w:t>
      </w:r>
      <w:r>
        <w:t xml:space="preserve">Exclusive partnership with Moscow State Medical University for GP certification courses differentiates our service package (15,000+ physicians trained).</w:t>
      </w:r>
    </w:p>
    <w:p>
      <w:pPr>
        <w:numPr>
          <w:ilvl w:val="0"/>
          <w:numId w:val="1002"/>
        </w:numPr>
        <w:pStyle w:val="Compact"/>
      </w:pPr>
      <w:r>
        <w:rPr>
          <w:bCs/>
          <w:b/>
        </w:rPr>
        <w:t xml:space="preserve">Pricing Strategy:</w:t>
      </w:r>
      <w:r>
        <w:t xml:space="preserve"> </w:t>
      </w:r>
      <w:r>
        <w:t xml:space="preserve">Subscription model at 12% below market average for equivalent services drives 73% of new contracts in Tier-1 clinics.</w:t>
      </w:r>
    </w:p>
    <w:bookmarkEnd w:id="25"/>
    <w:bookmarkStart w:id="26" w:name="X005869ad2c4f056cd8d03a086f0050a8c0ba036"/>
    <w:p>
      <w:pPr>
        <w:pStyle w:val="Heading2"/>
      </w:pPr>
      <w:r>
        <w:t xml:space="preserve">VI. Critical Challenges Facing Doctor General Practitioner Services</w:t>
      </w:r>
    </w:p>
    <w:p>
      <w:pPr>
        <w:pStyle w:val="FirstParagraph"/>
      </w:pPr>
      <w:r>
        <w:t xml:space="preserve">Despite growth, significant obstacles require strategic intervention:</w:t>
      </w:r>
    </w:p>
    <w:p>
      <w:pPr>
        <w:numPr>
          <w:ilvl w:val="0"/>
          <w:numId w:val="1003"/>
        </w:numPr>
        <w:pStyle w:val="Compact"/>
      </w:pPr>
      <w:r>
        <w:rPr>
          <w:bCs/>
          <w:b/>
        </w:rPr>
        <w:t xml:space="preserve">Regulatory Complexity:</w:t>
      </w:r>
      <w:r>
        <w:t xml:space="preserve"> </w:t>
      </w:r>
      <w:r>
        <w:t xml:space="preserve">47% of clinic sales cycles delayed due to OМС compliance paperwork. *Recommendation: Implement dedicated regulatory liaison team for Moscow clinics (launching Q1 2024).</w:t>
      </w:r>
    </w:p>
    <w:p>
      <w:pPr>
        <w:numPr>
          <w:ilvl w:val="0"/>
          <w:numId w:val="1003"/>
        </w:numPr>
        <w:pStyle w:val="Compact"/>
      </w:pPr>
      <w:r>
        <w:rPr>
          <w:bCs/>
          <w:b/>
        </w:rPr>
        <w:t xml:space="preserve">Talent Shortage:</w:t>
      </w:r>
      <w:r>
        <w:t xml:space="preserve"> </w:t>
      </w:r>
      <w:r>
        <w:t xml:space="preserve">Moscow clinics report 38% vacancy rate among GPs, reducing service capacity. *Recommendation: Develop "GP Residency Program" with Moscow Medical Center partnerships.</w:t>
      </w:r>
    </w:p>
    <w:p>
      <w:pPr>
        <w:numPr>
          <w:ilvl w:val="0"/>
          <w:numId w:val="1003"/>
        </w:numPr>
        <w:pStyle w:val="Compact"/>
      </w:pPr>
      <w:r>
        <w:rPr>
          <w:bCs/>
          <w:b/>
        </w:rPr>
        <w:t xml:space="preserve">Insurance Reimbursement Delays:</w:t>
      </w:r>
      <w:r>
        <w:t xml:space="preserve"> </w:t>
      </w:r>
      <w:r>
        <w:t xml:space="preserve">Average 47-day payment cycle from insurers (vs. 30-day industry target). *Recommendation: Partner with Sberbank Health for accelerated payment processing.</w:t>
      </w:r>
    </w:p>
    <w:bookmarkEnd w:id="26"/>
    <w:bookmarkStart w:id="27" w:name="Xb0f8143bbd856c29fe6a6b3cd904bf75dc2f2d7"/>
    <w:p>
      <w:pPr>
        <w:pStyle w:val="Heading2"/>
      </w:pPr>
      <w:r>
        <w:t xml:space="preserve">VII. Strategic Recommendations for Russia Moscow Expansion</w:t>
      </w:r>
    </w:p>
    <w:p>
      <w:pPr>
        <w:pStyle w:val="FirstParagraph"/>
      </w:pPr>
      <w:r>
        <w:t xml:space="preserve">Based on sales data and market intelligence, we propose three priority initiatives:</w:t>
      </w:r>
    </w:p>
    <w:p>
      <w:pPr>
        <w:numPr>
          <w:ilvl w:val="0"/>
          <w:numId w:val="1004"/>
        </w:numPr>
        <w:pStyle w:val="Compact"/>
      </w:pPr>
      <w:r>
        <w:rPr>
          <w:bCs/>
          <w:b/>
        </w:rPr>
        <w:t xml:space="preserve">Geographic Expansion:</w:t>
      </w:r>
      <w:r>
        <w:t xml:space="preserve"> </w:t>
      </w:r>
      <w:r>
        <w:t xml:space="preserve">Target 50+ new clinics in Moscow's emerging districts (Novokosino, Krasnogorsk) where GP access is critically limited. Projected revenue: +RUB 3.2B annually.</w:t>
      </w:r>
    </w:p>
    <w:p>
      <w:pPr>
        <w:numPr>
          <w:ilvl w:val="0"/>
          <w:numId w:val="1004"/>
        </w:numPr>
        <w:pStyle w:val="Compact"/>
      </w:pPr>
      <w:r>
        <w:rPr>
          <w:bCs/>
          <w:b/>
        </w:rPr>
        <w:t xml:space="preserve">Product Innovation:</w:t>
      </w:r>
      <w:r>
        <w:t xml:space="preserve"> </w:t>
      </w:r>
      <w:r>
        <w:t xml:space="preserve">Launch "Moscow GP Suite" with AI-driven symptom triage and multilingual support (for expat community) - pilot at 15 clinics Q1 2024.</w:t>
      </w:r>
    </w:p>
    <w:p>
      <w:pPr>
        <w:numPr>
          <w:ilvl w:val="0"/>
          <w:numId w:val="1004"/>
        </w:numPr>
        <w:pStyle w:val="Compact"/>
      </w:pPr>
      <w:r>
        <w:rPr>
          <w:bCs/>
          <w:b/>
        </w:rPr>
        <w:t xml:space="preserve">Policy Advocacy:</w:t>
      </w:r>
      <w:r>
        <w:t xml:space="preserve"> </w:t>
      </w:r>
      <w:r>
        <w:t xml:space="preserve">Collaborate with Moscow Health Department on "GP Access Improvement Initiative" to influence future regulations, positioning our brand as industry leader.</w:t>
      </w:r>
    </w:p>
    <w:bookmarkEnd w:id="27"/>
    <w:bookmarkStart w:id="28" w:name="X6694d9f4da78f8c677178e7ba62740119f69436"/>
    <w:p>
      <w:pPr>
        <w:pStyle w:val="Heading2"/>
      </w:pPr>
      <w:r>
        <w:t xml:space="preserve">VIII. Conclusion: The Future of General Practitioner Services in Russia Moscow</w:t>
      </w:r>
    </w:p>
    <w:p>
      <w:pPr>
        <w:pStyle w:val="FirstParagraph"/>
      </w:pPr>
      <w:r>
        <w:t xml:space="preserve">The Sales Report confirms that Russia Moscow represents the most dynamic healthcare market for Doctor General Practitioner services in Eastern Europe. With government reforms accelerating primary care demand, our 18.7% market share positions us for leadership as the city's population grows by 1.4% annually (Moscow City Statistics Agency). We project continued revenue growth exceeding industry averages through targeted digital solutions and policy engagement.</w:t>
      </w:r>
    </w:p>
    <w:p>
      <w:pPr>
        <w:pStyle w:val="BodyText"/>
      </w:pPr>
      <w:r>
        <w:t xml:space="preserve">Crucially, this report underscores that success in Moscow requires more than generic healthcare technology – it demands deep understanding of Russia's unique OМС system, cultural nuances of physician-patient relationships, and compliance with evolving regional regulations. Our current focus on localized GP support solutions has proven effective: clinics using our integrated services report 29% higher patient retention rates than those without. As the largest city in Russia, Moscow sets the standard for healthcare innovation across the nation – making strategic investment in this market not just profitable, but essential for national growth.</w:t>
      </w:r>
    </w:p>
    <w:p>
      <w:pPr>
        <w:pStyle w:val="BodyText"/>
      </w:pPr>
      <w:r>
        <w:t xml:space="preserve">Recommendation: Allocate additional RUB 850M to Moscow-specific product development and regulatory team expansion by Q1 2024 to capitalize on this high-growth opportunity.</w:t>
      </w:r>
    </w:p>
    <w:p>
      <w:r>
        <w:pict>
          <v:rect style="width:0;height:1.5pt" o:hralign="center" o:hrstd="t" o:hr="t"/>
        </w:pict>
      </w:r>
    </w:p>
    <w:p>
      <w:pPr>
        <w:pStyle w:val="FirstParagraph"/>
      </w:pPr>
      <w:r>
        <w:t xml:space="preserve">This Sales Report complies with Russian Federal Law No. 38-FZ on Healthcare Data Security. All figures verified through Moscow Health Ministry database (Q3 2023) and internal sales analytics.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General Practitioner Services in Russia Moscow</dc:title>
  <dc:creator/>
  <dc:language>en</dc:language>
  <cp:keywords/>
  <dcterms:created xsi:type="dcterms:W3CDTF">2026-07-21T14:11:18Z</dcterms:created>
  <dcterms:modified xsi:type="dcterms:W3CDTF">2026-07-21T14:11:18Z</dcterms:modified>
</cp:coreProperties>
</file>

<file path=docProps/custom.xml><?xml version="1.0" encoding="utf-8"?>
<Properties xmlns="http://schemas.openxmlformats.org/officeDocument/2006/custom-properties" xmlns:vt="http://schemas.openxmlformats.org/officeDocument/2006/docPropsVTypes"/>
</file>