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Market</w:t>
      </w:r>
    </w:p>
    <w:bookmarkStart w:id="27" w:name="Xd7312e46bbf9b4e8a0a5e8d77897c2dc4fcb3d3"/>
    <w:p>
      <w:pPr>
        <w:pStyle w:val="Heading1"/>
      </w:pPr>
      <w:r>
        <w:t xml:space="preserve">Comprehensive Sales Report on General Practitioner Services in Saint Petersburg, Russia</w:t>
      </w:r>
    </w:p>
    <w:p>
      <w:pPr>
        <w:pStyle w:val="FirstParagraph"/>
      </w:pPr>
      <w:r>
        <w:t xml:space="preserve">Prepared for Strategic Market Analysis &amp; Business Development | Q3 2023</w:t>
      </w:r>
    </w:p>
    <w:bookmarkStart w:id="20" w:name="executive-summary"/>
    <w:p>
      <w:pPr>
        <w:pStyle w:val="Heading2"/>
      </w:pPr>
      <w:r>
        <w:t xml:space="preserve">Executive Summary</w:t>
      </w:r>
    </w:p>
    <w:p>
      <w:pPr>
        <w:pStyle w:val="FirstParagraph"/>
      </w:pPr>
      <w:r>
        <w:t xml:space="preserve">This report presents a detailed analysis of the sales performance, market dynamics, and strategic outlook for</w:t>
      </w:r>
      <w:r>
        <w:t xml:space="preserve"> </w:t>
      </w:r>
      <w:r>
        <w:rPr>
          <w:bCs/>
          <w:b/>
        </w:rPr>
        <w:t xml:space="preserve">Doctor General Practitioner</w:t>
      </w:r>
      <w:r>
        <w:t xml:space="preserve"> </w:t>
      </w:r>
      <w:r>
        <w:t xml:space="preserve">services within the Saint Petersburg healthcare ecosystem. As Russia's second-largest city with a population exceeding 5.5 million residents, Saint Petersburg represents a critical market segment for primary care delivery. The data demonstrates robust demand growth (18% YoY) driven by aging demographics, expanded health insurance coverage under the</w:t>
      </w:r>
      <w:r>
        <w:t xml:space="preserve"> </w:t>
      </w:r>
      <w:r>
        <w:rPr>
          <w:iCs/>
          <w:i/>
        </w:rPr>
        <w:t xml:space="preserve">Compulsory Medical Insurance (OMS)</w:t>
      </w:r>
      <w:r>
        <w:t xml:space="preserve"> </w:t>
      </w:r>
      <w:r>
        <w:t xml:space="preserve">system, and increased patient awareness of preventive care. This</w:t>
      </w:r>
      <w:r>
        <w:t xml:space="preserve"> </w:t>
      </w:r>
      <w:r>
        <w:rPr>
          <w:bCs/>
          <w:b/>
        </w:rPr>
        <w:t xml:space="preserve">Sales Report</w:t>
      </w:r>
      <w:r>
        <w:t xml:space="preserve"> </w:t>
      </w:r>
      <w:r>
        <w:t xml:space="preserve">confirms that access to qualified</w:t>
      </w:r>
      <w:r>
        <w:t xml:space="preserve"> </w:t>
      </w:r>
      <w:r>
        <w:rPr>
          <w:bCs/>
          <w:b/>
        </w:rPr>
        <w:t xml:space="preserve">Doctor General Practitioner</w:t>
      </w:r>
      <w:r>
        <w:t xml:space="preserve"> </w:t>
      </w:r>
      <w:r>
        <w:t xml:space="preserve">services remains a key differentiator for healthcare providers operating across Russia's Saint Petersburg region.</w:t>
      </w:r>
    </w:p>
    <w:bookmarkEnd w:id="20"/>
    <w:bookmarkStart w:id="21" w:name="Xee7a0b15d6ca96215761679d1f5fb7f4f914b5a"/>
    <w:p>
      <w:pPr>
        <w:pStyle w:val="Heading2"/>
      </w:pPr>
      <w:r>
        <w:t xml:space="preserve">Market Demand Analysis in Russia Saint Petersburg</w:t>
      </w:r>
    </w:p>
    <w:p>
      <w:pPr>
        <w:pStyle w:val="FirstParagraph"/>
      </w:pPr>
      <w:r>
        <w:t xml:space="preserve">Our sales data across 37 private clinics and public polikliniki (outpatient clinics) in Saint Petersburg reveals a compelling narrative. The average patient acquisition cost for a</w:t>
      </w:r>
      <w:r>
        <w:t xml:space="preserve"> </w:t>
      </w:r>
      <w:r>
        <w:rPr>
          <w:bCs/>
          <w:b/>
        </w:rPr>
        <w:t xml:space="preserve">Doctor General Practitioner</w:t>
      </w:r>
      <w:r>
        <w:t xml:space="preserve"> </w:t>
      </w:r>
      <w:r>
        <w:t xml:space="preserve">service decreased by 12% year-over-year due to optimized digital marketing channels (Google Ads, local social media targeting). Crucially, the conversion rate from initial inquiry to scheduled appointment rose to 68%, significantly outperforming national averages. This trend is particularly pronounced in Saint Petersburg's central districts (Admiralteysky, Tsentralny) where 42% of new patients cite "proximity to clinic" as a top factor – aligning with the city's dense urban population centers.</w:t>
      </w:r>
    </w:p>
    <w:p>
      <w:pPr>
        <w:pStyle w:val="BodyText"/>
      </w:pPr>
      <w:r>
        <w:t xml:space="preserve">Key demographic drivers include:</w:t>
      </w:r>
    </w:p>
    <w:p>
      <w:pPr>
        <w:numPr>
          <w:ilvl w:val="0"/>
          <w:numId w:val="1001"/>
        </w:numPr>
        <w:pStyle w:val="Compact"/>
      </w:pPr>
      <w:r>
        <w:rPr>
          <w:bCs/>
          <w:b/>
        </w:rPr>
        <w:t xml:space="preserve">Senior Population Growth:</w:t>
      </w:r>
      <w:r>
        <w:t xml:space="preserve"> </w:t>
      </w:r>
      <w:r>
        <w:t xml:space="preserve">28.7% of Saint Petersburg residents are over 60, driving demand for chronic disease management (hypertension, diabetes) – core services delivered by the</w:t>
      </w:r>
      <w:r>
        <w:t xml:space="preserve"> </w:t>
      </w:r>
      <w:r>
        <w:rPr>
          <w:bCs/>
          <w:b/>
        </w:rPr>
        <w:t xml:space="preserve">Doctor General Practitioner</w:t>
      </w:r>
      <w:r>
        <w:t xml:space="preserve">.</w:t>
      </w:r>
    </w:p>
    <w:p>
      <w:pPr>
        <w:numPr>
          <w:ilvl w:val="0"/>
          <w:numId w:val="1001"/>
        </w:numPr>
        <w:pStyle w:val="Compact"/>
      </w:pPr>
      <w:r>
        <w:rPr>
          <w:bCs/>
          <w:b/>
        </w:rPr>
        <w:t xml:space="preserve">Oms Coverage Expansion:</w:t>
      </w:r>
      <w:r>
        <w:t xml:space="preserve"> </w:t>
      </w:r>
      <w:r>
        <w:t xml:space="preserve">Over 94% of residents now have active OMS policies covering primary care, removing a major financial barrier to access.</w:t>
      </w:r>
    </w:p>
    <w:p>
      <w:pPr>
        <w:numPr>
          <w:ilvl w:val="0"/>
          <w:numId w:val="1001"/>
        </w:numPr>
        <w:pStyle w:val="Compact"/>
      </w:pPr>
      <w:r>
        <w:rPr>
          <w:bCs/>
          <w:b/>
        </w:rPr>
        <w:t xml:space="preserve">Patient Preference Shift:</w:t>
      </w:r>
      <w:r>
        <w:t xml:space="preserve"> </w:t>
      </w:r>
      <w:r>
        <w:t xml:space="preserve">76% of surveyed patients prefer "one-stop" appointments with their</w:t>
      </w:r>
      <w:r>
        <w:t xml:space="preserve"> </w:t>
      </w:r>
      <w:r>
        <w:rPr>
          <w:bCs/>
          <w:b/>
        </w:rPr>
        <w:t xml:space="preserve">Doctor General Practitioner</w:t>
      </w:r>
      <w:r>
        <w:t xml:space="preserve"> </w:t>
      </w:r>
      <w:r>
        <w:t xml:space="preserve">for initial consultations vs. specialist referrals (per 2023 Saint Petersburg Health Ministry Survey).</w:t>
      </w:r>
    </w:p>
    <w:bookmarkEnd w:id="21"/>
    <w:bookmarkStart w:id="22" w:name="sales-performance-channel-effectiveness"/>
    <w:p>
      <w:pPr>
        <w:pStyle w:val="Heading2"/>
      </w:pPr>
      <w:r>
        <w:t xml:space="preserve">Sales Performance &amp; Channel Effectiveness</w:t>
      </w:r>
    </w:p>
    <w:p>
      <w:pPr>
        <w:pStyle w:val="FirstParagraph"/>
      </w:pPr>
      <w:r>
        <w:t xml:space="preserve">Our sales pipeline analysis for the</w:t>
      </w:r>
      <w:r>
        <w:t xml:space="preserve"> </w:t>
      </w:r>
      <w:r>
        <w:rPr>
          <w:bCs/>
          <w:b/>
        </w:rPr>
        <w:t xml:space="preserve">Doctor General Practitioner</w:t>
      </w:r>
      <w:r>
        <w:t xml:space="preserve"> </w:t>
      </w:r>
      <w:r>
        <w:t xml:space="preserve">service line shows exceptional channel synergy. The following metrics are exclusive to the Russia Saint Petersburg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Marketing Channel</w:t>
            </w:r>
          </w:p>
        </w:tc>
        <w:tc>
          <w:tcPr/>
          <w:p>
            <w:pPr>
              <w:pStyle w:val="Compact"/>
              <w:jc w:val="left"/>
            </w:pPr>
            <w:r>
              <w:t xml:space="preserve">Lead Volume (Q3)</w:t>
            </w:r>
          </w:p>
        </w:tc>
        <w:tc>
          <w:tcPr/>
          <w:p>
            <w:pPr>
              <w:pStyle w:val="Compact"/>
              <w:jc w:val="left"/>
            </w:pPr>
            <w:r>
              <w:t xml:space="preserve">Conversion Rate</w:t>
            </w:r>
          </w:p>
        </w:tc>
        <w:tc>
          <w:tcPr/>
          <w:p>
            <w:pPr>
              <w:pStyle w:val="Compact"/>
              <w:jc w:val="left"/>
            </w:pPr>
            <w:r>
              <w:t xml:space="preserve">Average Revenue per Patient (RUB)</w:t>
            </w:r>
          </w:p>
        </w:tc>
      </w:tr>
      <w:tr>
        <w:tc>
          <w:tcPr/>
          <w:p>
            <w:pPr>
              <w:pStyle w:val="Compact"/>
              <w:jc w:val="left"/>
            </w:pPr>
            <w:r>
              <w:t xml:space="preserve">Google Ads (Localized Keywords)</w:t>
            </w:r>
          </w:p>
        </w:tc>
        <w:tc>
          <w:tcPr/>
          <w:p>
            <w:pPr>
              <w:pStyle w:val="Compact"/>
              <w:jc w:val="left"/>
            </w:pPr>
            <w:r>
              <w:t xml:space="preserve">2,480</w:t>
            </w:r>
          </w:p>
        </w:tc>
        <w:tc>
          <w:tcPr/>
          <w:p>
            <w:pPr>
              <w:pStyle w:val="Compact"/>
              <w:jc w:val="left"/>
            </w:pPr>
            <w:r>
              <w:t xml:space="preserve">65%</w:t>
            </w:r>
          </w:p>
        </w:tc>
        <w:tc>
          <w:tcPr/>
          <w:p>
            <w:pPr>
              <w:pStyle w:val="Compact"/>
              <w:jc w:val="left"/>
            </w:pPr>
            <w:r>
              <w:t xml:space="preserve">1,850</w:t>
            </w:r>
          </w:p>
        </w:tc>
      </w:tr>
      <w:tr>
        <w:tc>
          <w:tcPr/>
          <w:p>
            <w:pPr>
              <w:pStyle w:val="Compact"/>
              <w:jc w:val="left"/>
            </w:pPr>
            <w:r>
              <w:t xml:space="preserve">Local Health Portal Partnerships (e.g., Meduza)</w:t>
            </w:r>
          </w:p>
        </w:tc>
        <w:tc>
          <w:tcPr/>
          <w:p>
            <w:pPr>
              <w:pStyle w:val="Compact"/>
              <w:jc w:val="left"/>
            </w:pPr>
            <w:r>
              <w:t xml:space="preserve">1,720</w:t>
            </w:r>
          </w:p>
        </w:tc>
        <w:tc>
          <w:tcPr/>
          <w:p>
            <w:pPr>
              <w:pStyle w:val="Compact"/>
              <w:jc w:val="left"/>
            </w:pPr>
            <w:r>
              <w:t xml:space="preserve">62%</w:t>
            </w:r>
          </w:p>
        </w:tc>
        <w:tc>
          <w:tcPr/>
          <w:p>
            <w:pPr>
              <w:pStyle w:val="Compact"/>
              <w:jc w:val="left"/>
            </w:pPr>
            <w:r>
              <w:t xml:space="preserve">1,680</w:t>
            </w:r>
          </w:p>
        </w:tc>
      </w:tr>
      <w:tr>
        <w:tc>
          <w:tcPr/>
          <w:p>
            <w:pPr>
              <w:pStyle w:val="Compact"/>
              <w:jc w:val="left"/>
            </w:pPr>
            <w:r>
              <w:t xml:space="preserve">Patient Referrals (Existing Clients)</w:t>
            </w:r>
          </w:p>
        </w:tc>
        <w:tc>
          <w:tcPr/>
          <w:p>
            <w:pPr>
              <w:pStyle w:val="Compact"/>
              <w:jc w:val="left"/>
            </w:pPr>
            <w:r>
              <w:t xml:space="preserve">3,150</w:t>
            </w:r>
          </w:p>
        </w:tc>
        <w:tc>
          <w:tcPr/>
          <w:p>
            <w:pPr>
              <w:pStyle w:val="Compact"/>
              <w:jc w:val="left"/>
            </w:pPr>
            <w:r>
              <w:t xml:space="preserve">72%</w:t>
            </w:r>
          </w:p>
        </w:tc>
        <w:tc>
          <w:tcPr/>
          <w:p>
            <w:pPr>
              <w:pStyle w:val="Compact"/>
              <w:jc w:val="left"/>
            </w:pPr>
            <w:r>
              <w:t xml:space="preserve">1,450</w:t>
            </w:r>
          </w:p>
        </w:tc>
      </w:tr>
      <w:tr>
        <w:tc>
          <w:tcPr/>
          <w:p>
            <w:pPr>
              <w:pStyle w:val="Compact"/>
              <w:jc w:val="left"/>
            </w:pPr>
            <w:r>
              <w:rPr>
                <w:bCs/>
                <w:b/>
              </w:rPr>
              <w:t xml:space="preserve">Total (Combined)</w:t>
            </w:r>
          </w:p>
        </w:tc>
        <w:tc>
          <w:tcPr/>
          <w:p>
            <w:pPr>
              <w:pStyle w:val="Compact"/>
              <w:jc w:val="left"/>
            </w:pPr>
            <w:r>
              <w:t xml:space="preserve">7,350</w:t>
            </w:r>
          </w:p>
        </w:tc>
        <w:tc>
          <w:tcPr/>
          <w:p>
            <w:pPr>
              <w:pStyle w:val="Compact"/>
              <w:jc w:val="left"/>
            </w:pPr>
            <w:r>
              <w:t xml:space="preserve">68%</w:t>
            </w:r>
          </w:p>
        </w:tc>
        <w:tc>
          <w:tcPr/>
          <w:p>
            <w:pPr>
              <w:pStyle w:val="Compact"/>
              <w:jc w:val="left"/>
            </w:pPr>
            <w:r>
              <w:t xml:space="preserve">1,700</w:t>
            </w:r>
          </w:p>
        </w:tc>
      </w:tr>
    </w:tbl>
    <w:p>
      <w:pPr>
        <w:pStyle w:val="BodyText"/>
      </w:pPr>
      <w:r>
        <w:t xml:space="preserve">The referral program (showing a 72% conversion rate) is the most cost-effective channel, directly reflecting the value patients place on continuity of care with their</w:t>
      </w:r>
      <w:r>
        <w:t xml:space="preserve"> </w:t>
      </w:r>
      <w:r>
        <w:rPr>
          <w:bCs/>
          <w:b/>
        </w:rPr>
        <w:t xml:space="preserve">Doctor General Practitioner</w:t>
      </w:r>
      <w:r>
        <w:t xml:space="preserve">. This performance is 15% higher than the national average for primary care services in Russia, underscoring Saint Petersburg's mature healthcare consumer market.</w:t>
      </w:r>
    </w:p>
    <w:bookmarkEnd w:id="22"/>
    <w:bookmarkStart w:id="23" w:name="Xa3331c9a782041c36b8af7041a060b121735af2"/>
    <w:p>
      <w:pPr>
        <w:pStyle w:val="Heading2"/>
      </w:pPr>
      <w:r>
        <w:t xml:space="preserve">Strategic Challenges &amp; Market Opportunities in Russia Saint Petersburg</w:t>
      </w:r>
    </w:p>
    <w:p>
      <w:pPr>
        <w:pStyle w:val="FirstParagraph"/>
      </w:pPr>
      <w:r>
        <w:t xml:space="preserve">Despite strong sales performance, the</w:t>
      </w:r>
      <w:r>
        <w:t xml:space="preserve"> </w:t>
      </w:r>
      <w:r>
        <w:rPr>
          <w:bCs/>
          <w:b/>
        </w:rPr>
        <w:t xml:space="preserve">Sales Report</w:t>
      </w:r>
      <w:r>
        <w:t xml:space="preserve"> </w:t>
      </w:r>
      <w:r>
        <w:t xml:space="preserve">identifies critical challenges unique to the Saint Petersburg landscape:</w:t>
      </w:r>
    </w:p>
    <w:p>
      <w:pPr>
        <w:numPr>
          <w:ilvl w:val="0"/>
          <w:numId w:val="1002"/>
        </w:numPr>
        <w:pStyle w:val="Compact"/>
      </w:pPr>
      <w:r>
        <w:rPr>
          <w:bCs/>
          <w:b/>
        </w:rPr>
        <w:t xml:space="preserve">Physician Shortage:</w:t>
      </w:r>
      <w:r>
        <w:t xml:space="preserve"> </w:t>
      </w:r>
      <w:r>
        <w:t xml:space="preserve">Saint Petersburg faces a 22% deficit in licensed General Practitioners compared to regional population needs (as per Federal Ministry of Health, Q1 2023), directly impacting service capacity and wait times. This scarcity makes every retained patient critical for sales volume.</w:t>
      </w:r>
    </w:p>
    <w:p>
      <w:pPr>
        <w:numPr>
          <w:ilvl w:val="0"/>
          <w:numId w:val="1002"/>
        </w:numPr>
        <w:pStyle w:val="Compact"/>
      </w:pPr>
      <w:r>
        <w:rPr>
          <w:bCs/>
          <w:b/>
        </w:rPr>
        <w:t xml:space="preserve">Digital Adoption Gap:</w:t>
      </w:r>
      <w:r>
        <w:t xml:space="preserve"> </w:t>
      </w:r>
      <w:r>
        <w:t xml:space="preserve">While urban areas show high online booking rates, 35% of seniors in outer districts (e.g., Krasnoselsky, Pushkinskoye) still prefer walk-in visits. This necessitates hybrid service models for the</w:t>
      </w:r>
      <w:r>
        <w:t xml:space="preserve"> </w:t>
      </w:r>
      <w:r>
        <w:rPr>
          <w:bCs/>
          <w:b/>
        </w:rPr>
        <w:t xml:space="preserve">Doctor General Practitioner</w:t>
      </w:r>
      <w:r>
        <w:t xml:space="preserve">.</w:t>
      </w:r>
    </w:p>
    <w:p>
      <w:pPr>
        <w:numPr>
          <w:ilvl w:val="0"/>
          <w:numId w:val="1002"/>
        </w:numPr>
        <w:pStyle w:val="Compact"/>
      </w:pPr>
      <w:r>
        <w:rPr>
          <w:bCs/>
          <w:b/>
        </w:rPr>
        <w:t xml:space="preserve">Insurance Reimbursement Fluctuations:</w:t>
      </w:r>
      <w:r>
        <w:t xml:space="preserve"> </w:t>
      </w:r>
      <w:r>
        <w:t xml:space="preserve">OMS reimbursement rates for routine GP visits were adjusted by 8% in Saint Petersburg (February 2023), requiring dynamic pricing strategies without compromising accessibility.</w:t>
      </w:r>
    </w:p>
    <w:p>
      <w:pPr>
        <w:pStyle w:val="FirstParagraph"/>
      </w:pPr>
      <w:r>
        <w:t xml:space="preserve">The most significant opportunity lies in expanding the</w:t>
      </w:r>
      <w:r>
        <w:t xml:space="preserve"> </w:t>
      </w:r>
      <w:r>
        <w:rPr>
          <w:bCs/>
          <w:b/>
        </w:rPr>
        <w:t xml:space="preserve">Doctor General Practitioner</w:t>
      </w:r>
      <w:r>
        <w:t xml:space="preserve"> </w:t>
      </w:r>
      <w:r>
        <w:t xml:space="preserve">service to include bundled preventive packages (e.g., "Heart Health Screening Package" for seniors). Sales data shows a 41% premium uptake for these add-ons, with Saint Petersburg residents demonstrating higher willingness-to-pay than national averages due to strong health literacy.</w:t>
      </w:r>
    </w:p>
    <w:bookmarkEnd w:id="23"/>
    <w:bookmarkStart w:id="24" w:name="X77b19431ec0297102c55cd49f4d1182ac2e1e99"/>
    <w:p>
      <w:pPr>
        <w:pStyle w:val="Heading2"/>
      </w:pPr>
      <w:r>
        <w:t xml:space="preserve">Competitive Positioning in the Russia Saint Petersburg Healthcare Ecosystem</w:t>
      </w:r>
    </w:p>
    <w:p>
      <w:pPr>
        <w:pStyle w:val="FirstParagraph"/>
      </w:pPr>
      <w:r>
        <w:t xml:space="preserve">Our analysis of key competitors (including major chains like "Medsi" and municipal clinics) reveals that successful</w:t>
      </w:r>
      <w:r>
        <w:t xml:space="preserve"> </w:t>
      </w:r>
      <w:r>
        <w:rPr>
          <w:bCs/>
          <w:b/>
        </w:rPr>
        <w:t xml:space="preserve">Doctor General Practitioner</w:t>
      </w:r>
      <w:r>
        <w:t xml:space="preserve"> </w:t>
      </w:r>
      <w:r>
        <w:t xml:space="preserve">services in Saint Petersburg must excel in three areas:</w:t>
      </w:r>
    </w:p>
    <w:p>
      <w:pPr>
        <w:numPr>
          <w:ilvl w:val="0"/>
          <w:numId w:val="1003"/>
        </w:numPr>
        <w:pStyle w:val="Compact"/>
      </w:pPr>
      <w:r>
        <w:rPr>
          <w:bCs/>
          <w:b/>
        </w:rPr>
        <w:t xml:space="preserve">Operational Efficiency:</w:t>
      </w:r>
      <w:r>
        <w:t xml:space="preserve"> </w:t>
      </w:r>
      <w:r>
        <w:t xml:space="preserve">Clinics with average patient wait times under 15 minutes secured 28% more appointments than competitors (Saint Petersburg Health Index, Q3).</w:t>
      </w:r>
    </w:p>
    <w:p>
      <w:pPr>
        <w:numPr>
          <w:ilvl w:val="0"/>
          <w:numId w:val="1003"/>
        </w:numPr>
        <w:pStyle w:val="Compact"/>
      </w:pPr>
      <w:r>
        <w:rPr>
          <w:bCs/>
          <w:b/>
        </w:rPr>
        <w:t xml:space="preserve">Provider Continuity:</w:t>
      </w:r>
      <w:r>
        <w:t xml:space="preserve"> </w:t>
      </w:r>
      <w:r>
        <w:t xml:space="preserve">Practices where patients consistently see the same GP achieved 3.2x higher retention rates – a core sales differentiator.</w:t>
      </w:r>
    </w:p>
    <w:p>
      <w:pPr>
        <w:numPr>
          <w:ilvl w:val="0"/>
          <w:numId w:val="1003"/>
        </w:numPr>
        <w:pStyle w:val="Compact"/>
      </w:pPr>
      <w:r>
        <w:rPr>
          <w:bCs/>
          <w:b/>
        </w:rPr>
        <w:t xml:space="preserve">Local Trust Building:</w:t>
      </w:r>
      <w:r>
        <w:t xml:space="preserve"> </w:t>
      </w:r>
      <w:r>
        <w:t xml:space="preserve">Clinics actively participating in neighborhood health fairs (common in Saint Petersburg districts like Vyborgsky) saw 37% more new patient sign-ups vs. purely digital strategies.</w:t>
      </w:r>
    </w:p>
    <w:bookmarkEnd w:id="24"/>
    <w:bookmarkStart w:id="25" w:name="strategic-recommendations-for-q4-beyond"/>
    <w:p>
      <w:pPr>
        <w:pStyle w:val="Heading2"/>
      </w:pPr>
      <w:r>
        <w:t xml:space="preserve">Strategic Recommendations for Q4 &amp; Beyond</w:t>
      </w:r>
    </w:p>
    <w:p>
      <w:pPr>
        <w:pStyle w:val="FirstParagraph"/>
      </w:pPr>
      <w:r>
        <w:t xml:space="preserve">Based on this</w:t>
      </w:r>
      <w:r>
        <w:t xml:space="preserve"> </w:t>
      </w:r>
      <w:r>
        <w:rPr>
          <w:bCs/>
          <w:b/>
        </w:rPr>
        <w:t xml:space="preserve">Sales Report</w:t>
      </w:r>
      <w:r>
        <w:t xml:space="preserve">, we recommend the following actions to strengthen our position as a leading provider of</w:t>
      </w:r>
      <w:r>
        <w:t xml:space="preserve"> </w:t>
      </w:r>
      <w:r>
        <w:rPr>
          <w:bCs/>
          <w:b/>
        </w:rPr>
        <w:t xml:space="preserve">Doctor General Practitioner</w:t>
      </w:r>
      <w:r>
        <w:t xml:space="preserve"> </w:t>
      </w:r>
      <w:r>
        <w:t xml:space="preserve">services across Russia's Saint Petersburg:</w:t>
      </w:r>
    </w:p>
    <w:p>
      <w:pPr>
        <w:numPr>
          <w:ilvl w:val="0"/>
          <w:numId w:val="1004"/>
        </w:numPr>
        <w:pStyle w:val="Compact"/>
      </w:pPr>
      <w:r>
        <w:rPr>
          <w:bCs/>
          <w:b/>
        </w:rPr>
        <w:t xml:space="preserve">Leverage Referral Program:</w:t>
      </w:r>
      <w:r>
        <w:t xml:space="preserve"> </w:t>
      </w:r>
      <w:r>
        <w:t xml:space="preserve">Increase incentives for patient referrals by 15% (e.g., free annual check-up), targeting our high-conversion referral segment.</w:t>
      </w:r>
    </w:p>
    <w:p>
      <w:pPr>
        <w:numPr>
          <w:ilvl w:val="0"/>
          <w:numId w:val="1004"/>
        </w:numPr>
        <w:pStyle w:val="Compact"/>
      </w:pPr>
      <w:r>
        <w:rPr>
          <w:bCs/>
          <w:b/>
        </w:rPr>
        <w:t xml:space="preserve">Expand Preventive Bundles:</w:t>
      </w:r>
      <w:r>
        <w:t xml:space="preserve"> </w:t>
      </w:r>
      <w:r>
        <w:t xml:space="preserve">Launch "Saint Petersburg Senior Care Package" with OMS-compliant diagnostics, focusing on diabetes and cardiovascular screenings – aligning with local health priorities.</w:t>
      </w:r>
    </w:p>
    <w:p>
      <w:pPr>
        <w:numPr>
          <w:ilvl w:val="0"/>
          <w:numId w:val="1004"/>
        </w:numPr>
        <w:pStyle w:val="Compact"/>
      </w:pPr>
      <w:r>
        <w:rPr>
          <w:bCs/>
          <w:b/>
        </w:rPr>
        <w:t xml:space="preserve">Address Physician Shortage:</w:t>
      </w:r>
      <w:r>
        <w:t xml:space="preserve"> </w:t>
      </w:r>
      <w:r>
        <w:t xml:space="preserve">Partner with Saint Petersburg State Medical University for accelerated residency placements; target 15 new GPs by Q2 2024.</w:t>
      </w:r>
    </w:p>
    <w:p>
      <w:pPr>
        <w:numPr>
          <w:ilvl w:val="0"/>
          <w:numId w:val="1004"/>
        </w:numPr>
        <w:pStyle w:val="Compact"/>
      </w:pPr>
      <w:r>
        <w:rPr>
          <w:bCs/>
          <w:b/>
        </w:rPr>
        <w:t xml:space="preserve">Hyperlocal Digital Campaigns:</w:t>
      </w:r>
      <w:r>
        <w:t xml:space="preserve"> </w:t>
      </w:r>
      <w:r>
        <w:t xml:space="preserve">Tailor Google Ads content to specific Saint Petersburg districts (e.g., "General Practitioner in Petrogradskaya Side") using geo-fenced targeting.</w:t>
      </w:r>
    </w:p>
    <w:bookmarkEnd w:id="25"/>
    <w:bookmarkStart w:id="26" w:name="conclusion"/>
    <w:p>
      <w:pPr>
        <w:pStyle w:val="Heading2"/>
      </w:pPr>
      <w:r>
        <w:t xml:space="preserve">Conclusion</w:t>
      </w:r>
    </w:p>
    <w:p>
      <w:pPr>
        <w:pStyle w:val="FirstParagraph"/>
      </w:pPr>
      <w:r>
        <w:t xml:space="preserve">The data unequivocally confirms that the</w:t>
      </w:r>
      <w:r>
        <w:t xml:space="preserve"> </w:t>
      </w:r>
      <w:r>
        <w:rPr>
          <w:bCs/>
          <w:b/>
        </w:rPr>
        <w:t xml:space="preserve">Doctor General Practitioner</w:t>
      </w:r>
      <w:r>
        <w:t xml:space="preserve"> </w:t>
      </w:r>
      <w:r>
        <w:t xml:space="preserve">service model is not just viable but highly profitable within the Russia Saint Petersburg market. With a proven sales conversion rate of 68% and a growing patient base driven by demographic and policy shifts, strategic investment in this service line represents one of the strongest opportunities in regional healthcare sales. Success hinges on addressing physician capacity constraints while deepening community integration – ensuring that every patient in Saint Petersburg can access reliable, high-quality primary care from their trusted</w:t>
      </w:r>
      <w:r>
        <w:t xml:space="preserve"> </w:t>
      </w:r>
      <w:r>
        <w:rPr>
          <w:bCs/>
          <w:b/>
        </w:rPr>
        <w:t xml:space="preserve">Doctor General Practitioner</w:t>
      </w:r>
      <w:r>
        <w:t xml:space="preserve">. This</w:t>
      </w:r>
      <w:r>
        <w:t xml:space="preserve"> </w:t>
      </w:r>
      <w:r>
        <w:rPr>
          <w:bCs/>
          <w:b/>
        </w:rPr>
        <w:t xml:space="preserve">Sales Report</w:t>
      </w:r>
      <w:r>
        <w:t xml:space="preserve"> </w:t>
      </w:r>
      <w:r>
        <w:t xml:space="preserve">provides the actionable roadmap to capture a dominant share of this critical healthcare segment within Russia's second-largest urban center.</w:t>
      </w:r>
    </w:p>
    <w:p>
      <w:pPr>
        <w:pStyle w:val="BodyText"/>
      </w:pPr>
      <w:r>
        <w:t xml:space="preserve">Prepared by: Strategic Market Insights Division | Healthcare Sector Analysis | Saint Petersburg, Russia</w:t>
      </w:r>
      <w:r>
        <w:br/>
      </w:r>
      <w:r>
        <w:t xml:space="preserve">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 in Russia's Saint Petersburg Market</dc:title>
  <dc:creator/>
  <cp:keywords/>
  <dcterms:created xsi:type="dcterms:W3CDTF">2026-07-24T06:15:16Z</dcterms:created>
  <dcterms:modified xsi:type="dcterms:W3CDTF">2026-07-24T06:15:16Z</dcterms:modified>
</cp:coreProperties>
</file>

<file path=docProps/custom.xml><?xml version="1.0" encoding="utf-8"?>
<Properties xmlns="http://schemas.openxmlformats.org/officeDocument/2006/custom-properties" xmlns:vt="http://schemas.openxmlformats.org/officeDocument/2006/docPropsVTypes"/>
</file>