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Market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q3-2024-sales-performance-report"/>
    <w:p>
      <w:pPr>
        <w:pStyle w:val="Heading1"/>
      </w:pPr>
      <w:r>
        <w:t xml:space="preserve">Q3 2024 Sales Performance Report</w:t>
      </w:r>
    </w:p>
    <w:bookmarkStart w:id="27" w:name="Xf007b9bc4b133ad0bce636f35f0928d63cd5b67"/>
    <w:p>
      <w:pPr>
        <w:pStyle w:val="Heading2"/>
      </w:pPr>
      <w:r>
        <w:t xml:space="preserve">Doctor General Practitioner Market Analysis &amp; Strategic Insights for Saudi Arabia Jeddah</w:t>
      </w:r>
    </w:p>
    <w:p>
      <w:pPr>
        <w:pStyle w:val="FirstParagraph"/>
      </w:pPr>
      <w:r>
        <w:t xml:space="preserve">Prepared Exclusively for Saudi Healthcare Sales Leadership | Date: October 26, 2024</w:t>
      </w:r>
    </w:p>
    <w:bookmarkStart w:id="20" w:name="executive-summary"/>
    <w:p>
      <w:pPr>
        <w:pStyle w:val="Heading3"/>
      </w:pPr>
      <w:r>
        <w:t xml:space="preserve">Executive Summary</w:t>
      </w:r>
    </w:p>
    <w:p>
      <w:pPr>
        <w:pStyle w:val="FirstParagraph"/>
      </w:pPr>
      <w:r>
        <w:t xml:space="preserve">The Q3 2024 Sales Report for the Doctor General Practitioner (GP) segment in Saudi Arabia Jeddah demonstrates exceptional growth, with a 27.5% year-over-year increase in product adoption across key therapeutic categories. This performance significantly outpaces national healthcare sector averages and aligns with Saudi Vision 2030's strategic focus on primary care enhancement. The report details targeted engagement strategies that resonated deeply within Jeddah's unique healthcare ecosystem, where General Practitioners serve as the critical first point of contact for over 4.2 million residents across the city.</w:t>
      </w:r>
    </w:p>
    <w:bookmarkEnd w:id="20"/>
    <w:bookmarkStart w:id="21" w:name="X458f5e1968e025186b8bbd6f1c57da0d9450917"/>
    <w:p>
      <w:pPr>
        <w:pStyle w:val="Heading3"/>
      </w:pPr>
      <w:r>
        <w:t xml:space="preserve">Market Context: Why Saudi Arabia Jeddah is Pivotal</w:t>
      </w:r>
    </w:p>
    <w:p>
      <w:pPr>
        <w:pStyle w:val="FirstParagraph"/>
      </w:pPr>
      <w:r>
        <w:t xml:space="preserve">Jeddah, as Saudi Arabia's second-largest city and primary gateway for medical tourism, presents a uniquely dynamic market for Doctor General Practitioner engagement. With the Ministry of Health (MOH) prioritizing primary care infrastructure under Vision 2030, Jeddah has seen a 42% expansion in private clinics since 2021. This growth directly impacts our sales strategy:</w:t>
      </w:r>
      <w:r>
        <w:t xml:space="preserve"> </w:t>
      </w:r>
      <w:r>
        <w:rPr>
          <w:bCs/>
          <w:b/>
        </w:rPr>
        <w:t xml:space="preserve">Doctor General Practitioner</w:t>
      </w:r>
      <w:r>
        <w:t xml:space="preserve"> </w:t>
      </w:r>
      <w:r>
        <w:t xml:space="preserve">networks here are not merely endpoints for product distribution—they are strategic partners in advancing community health outcomes across the Western Region. Our data confirms that Jeddah's GPs refer to specialized care 34% more frequently than regional averages, creating a high-value sales environment where evidence-based solutions directly translate to patient retention.</w:t>
      </w:r>
    </w:p>
    <w:bookmarkEnd w:id="21"/>
    <w:bookmarkStart w:id="22" w:name="q3-sales-performance-highlights"/>
    <w:p>
      <w:pPr>
        <w:pStyle w:val="Heading3"/>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Sales (SAR)</w:t>
            </w:r>
          </w:p>
        </w:tc>
        <w:tc>
          <w:tcPr/>
          <w:p>
            <w:pPr>
              <w:pStyle w:val="Compact"/>
              <w:jc w:val="left"/>
            </w:pPr>
            <w:r>
              <w:t xml:space="preserve">% YoY Growth</w:t>
            </w:r>
          </w:p>
        </w:tc>
        <w:tc>
          <w:tcPr/>
          <w:p>
            <w:pPr>
              <w:pStyle w:val="Compact"/>
              <w:jc w:val="left"/>
            </w:pPr>
            <w:r>
              <w:t xml:space="preserve">Top 3 Jeddah Clinics by Adoption</w:t>
            </w:r>
          </w:p>
        </w:tc>
      </w:tr>
      <w:tr>
        <w:tc>
          <w:tcPr/>
          <w:p>
            <w:pPr>
              <w:pStyle w:val="Compact"/>
              <w:jc w:val="left"/>
            </w:pPr>
            <w:r>
              <w:t xml:space="preserve">Chronic Disease Management Kits (Diabetes/Hypertension)</w:t>
            </w:r>
          </w:p>
        </w:tc>
        <w:tc>
          <w:tcPr/>
          <w:p>
            <w:pPr>
              <w:pStyle w:val="Compact"/>
              <w:jc w:val="left"/>
            </w:pPr>
            <w:r>
              <w:t xml:space="preserve">1,845,000</w:t>
            </w:r>
          </w:p>
        </w:tc>
        <w:tc>
          <w:tcPr/>
          <w:p>
            <w:pPr>
              <w:pStyle w:val="Compact"/>
              <w:jc w:val="left"/>
            </w:pPr>
            <w:r>
              <w:t xml:space="preserve">+36.2%</w:t>
            </w:r>
          </w:p>
        </w:tc>
        <w:tc>
          <w:tcPr/>
          <w:p>
            <w:pPr>
              <w:pStyle w:val="Compact"/>
              <w:jc w:val="left"/>
            </w:pPr>
            <w:r>
              <w:t xml:space="preserve">Al-Haram Medical Center, Al-Zahrani Clinic, Jeddah Health Hub</w:t>
            </w:r>
          </w:p>
        </w:tc>
      </w:tr>
      <w:tr>
        <w:tc>
          <w:tcPr/>
          <w:p>
            <w:pPr>
              <w:pStyle w:val="Compact"/>
              <w:jc w:val="left"/>
            </w:pPr>
            <w:r>
              <w:t xml:space="preserve">Digital Diagnostic Tools (Portable ECG/SpO2)</w:t>
            </w:r>
          </w:p>
        </w:tc>
        <w:tc>
          <w:tcPr/>
          <w:p>
            <w:pPr>
              <w:pStyle w:val="Compact"/>
              <w:jc w:val="left"/>
            </w:pPr>
            <w:r>
              <w:t xml:space="preserve">987,000</w:t>
            </w:r>
          </w:p>
        </w:tc>
        <w:tc>
          <w:tcPr/>
          <w:p>
            <w:pPr>
              <w:pStyle w:val="Compact"/>
              <w:jc w:val="left"/>
            </w:pPr>
            <w:r>
              <w:t xml:space="preserve">+41.8%</w:t>
            </w:r>
          </w:p>
        </w:tc>
        <w:tc>
          <w:tcPr/>
          <w:p>
            <w:pPr>
              <w:pStyle w:val="Compact"/>
              <w:jc w:val="left"/>
            </w:pPr>
            <w:r>
              <w:t xml:space="preserve">Al-Otaibi General Practice, Al-Masri Family Clinic, Nour Clinic</w:t>
            </w:r>
          </w:p>
        </w:tc>
      </w:tr>
      <w:tr>
        <w:tc>
          <w:tcPr/>
          <w:p>
            <w:pPr>
              <w:pStyle w:val="Compact"/>
              <w:jc w:val="left"/>
            </w:pPr>
            <w:r>
              <w:t xml:space="preserve">Telehealth Integration Services</w:t>
            </w:r>
          </w:p>
        </w:tc>
        <w:tc>
          <w:tcPr/>
          <w:p>
            <w:pPr>
              <w:pStyle w:val="Compact"/>
              <w:jc w:val="left"/>
            </w:pPr>
            <w:r>
              <w:t xml:space="preserve">625,000</w:t>
            </w:r>
          </w:p>
        </w:tc>
        <w:tc>
          <w:tcPr/>
          <w:p>
            <w:pPr>
              <w:pStyle w:val="Compact"/>
              <w:jc w:val="left"/>
            </w:pPr>
            <w:r>
              <w:t xml:space="preserve">+58.3%</w:t>
            </w:r>
          </w:p>
        </w:tc>
        <w:tc>
          <w:tcPr/>
          <w:p>
            <w:pPr>
              <w:pStyle w:val="Compact"/>
              <w:jc w:val="left"/>
            </w:pPr>
            <w:r>
              <w:t xml:space="preserve">National Health Network (Jeddah), Al-Sharq Clinic, MedCare Jeddah</w:t>
            </w:r>
          </w:p>
        </w:tc>
      </w:tr>
      <w:tr>
        <w:tc>
          <w:tcPr/>
          <w:p>
            <w:pPr>
              <w:pStyle w:val="Compact"/>
              <w:jc w:val="left"/>
            </w:pPr>
            <w:r>
              <w:rPr>
                <w:bCs/>
                <w:b/>
              </w:rPr>
              <w:t xml:space="preserve">Total</w:t>
            </w:r>
          </w:p>
        </w:tc>
        <w:tc>
          <w:tcPr/>
          <w:p>
            <w:pPr>
              <w:pStyle w:val="Compact"/>
              <w:jc w:val="left"/>
            </w:pPr>
            <w:r>
              <w:rPr>
                <w:bCs/>
                <w:b/>
              </w:rPr>
              <w:t xml:space="preserve">3,457,000</w:t>
            </w:r>
          </w:p>
        </w:tc>
        <w:tc>
          <w:tcPr/>
          <w:p>
            <w:pPr>
              <w:pStyle w:val="Compact"/>
              <w:jc w:val="left"/>
            </w:pPr>
            <w:r>
              <w:rPr>
                <w:bCs/>
                <w:b/>
              </w:rPr>
              <w:t xml:space="preserve">+38.1%</w:t>
            </w:r>
          </w:p>
        </w:tc>
        <w:tc>
          <w:tcPr/>
          <w:p>
            <w:pPr>
              <w:pStyle w:val="Compact"/>
              <w:jc w:val="left"/>
            </w:pPr>
            <w:r>
              <w:t xml:space="preserve"> </w:t>
            </w:r>
          </w:p>
        </w:tc>
      </w:tr>
    </w:tbl>
    <w:bookmarkEnd w:id="22"/>
    <w:bookmarkStart w:id="23" w:name="Xb741e4b23f508d97a940640b7946f7d65a5edef"/>
    <w:p>
      <w:pPr>
        <w:pStyle w:val="Heading3"/>
      </w:pPr>
      <w:r>
        <w:t xml:space="preserve">Key Growth Drivers in Saudi Arabia Jeddah</w:t>
      </w:r>
    </w:p>
    <w:p>
      <w:pPr>
        <w:pStyle w:val="FirstParagraph"/>
      </w:pPr>
      <w:r>
        <w:t xml:space="preserve">Our success is directly attributable to hyper-localized strategies tailored for Jeddah's Doctor General Practitioner community:</w:t>
      </w:r>
    </w:p>
    <w:p>
      <w:pPr>
        <w:numPr>
          <w:ilvl w:val="0"/>
          <w:numId w:val="1001"/>
        </w:numPr>
        <w:pStyle w:val="Compact"/>
      </w:pPr>
      <w:r>
        <w:rPr>
          <w:bCs/>
          <w:b/>
        </w:rPr>
        <w:t xml:space="preserve">Cultural Alignment with MOH Guidelines:</w:t>
      </w:r>
      <w:r>
        <w:t xml:space="preserve"> </w:t>
      </w:r>
      <w:r>
        <w:t xml:space="preserve">We co-developed training modules with the Jeddah Medical Directorate that integrate Saudi Board certification requirements. GPs reported a 91% satisfaction rate in our Q3 feedback, noting that our product demos aligned precisely with the MOH's "Family Health Program" standards.</w:t>
      </w:r>
    </w:p>
    <w:p>
      <w:pPr>
        <w:numPr>
          <w:ilvl w:val="0"/>
          <w:numId w:val="1001"/>
        </w:numPr>
        <w:pStyle w:val="Compact"/>
      </w:pPr>
      <w:r>
        <w:rPr>
          <w:bCs/>
          <w:b/>
        </w:rPr>
        <w:t xml:space="preserve">Community-Driven Engagement:</w:t>
      </w:r>
      <w:r>
        <w:t xml:space="preserve"> </w:t>
      </w:r>
      <w:r>
        <w:t xml:space="preserve">Unlike national campaigns, we deployed Jeddah-based field representatives who speak colloquial Arabic and understand local clinic workflows. This resulted in a 33% faster onboarding rate for new Doctor General Practitioner accounts compared to Q2.</w:t>
      </w:r>
    </w:p>
    <w:p>
      <w:pPr>
        <w:numPr>
          <w:ilvl w:val="0"/>
          <w:numId w:val="1001"/>
        </w:numPr>
        <w:pStyle w:val="Compact"/>
      </w:pPr>
      <w:r>
        <w:rPr>
          <w:bCs/>
          <w:b/>
        </w:rPr>
        <w:t xml:space="preserve">Leveraging Jeddah's Healthcare Ecosystem:</w:t>
      </w:r>
      <w:r>
        <w:t xml:space="preserve"> </w:t>
      </w:r>
      <w:r>
        <w:t xml:space="preserve">Partnering with major private hospital chains (e.g., King Abdullah Medical City, Al-Faisaliah Hospital) created "GP-to-specialist" referral pathways. Our digital tools now capture 18% of all patient referrals from these networks.</w:t>
      </w:r>
    </w:p>
    <w:bookmarkEnd w:id="23"/>
    <w:bookmarkStart w:id="24" w:name="Xe9188820094fd73fb4c26b9b15a3827c0e24356"/>
    <w:p>
      <w:pPr>
        <w:pStyle w:val="Heading3"/>
      </w:pPr>
      <w:r>
        <w:t xml:space="preserve">Challenges &amp; Strategic Responses in Saudi Arabia Jeddah</w:t>
      </w:r>
    </w:p>
    <w:p>
      <w:pPr>
        <w:pStyle w:val="FirstParagraph"/>
      </w:pPr>
      <w:r>
        <w:t xml:space="preserve">Despite strong performance, we identified two critical challenges specific to the Doctor General Practitioner market in Jeddah:</w:t>
      </w:r>
    </w:p>
    <w:p>
      <w:pPr>
        <w:numPr>
          <w:ilvl w:val="0"/>
          <w:numId w:val="1002"/>
        </w:numPr>
        <w:pStyle w:val="Compact"/>
      </w:pPr>
      <w:r>
        <w:rPr>
          <w:bCs/>
          <w:b/>
        </w:rPr>
        <w:t xml:space="preserve">Seasonal Demand Fluctuation:</w:t>
      </w:r>
      <w:r>
        <w:t xml:space="preserve"> </w:t>
      </w:r>
      <w:r>
        <w:t xml:space="preserve">During Ramadan (Q3), appointment volumes decreased by 19% at clinics.</w:t>
      </w:r>
      <w:r>
        <w:t xml:space="preserve"> </w:t>
      </w:r>
      <w:r>
        <w:rPr>
          <w:iCs/>
          <w:i/>
        </w:rPr>
        <w:t xml:space="preserve">Strategic Response:</w:t>
      </w:r>
      <w:r>
        <w:t xml:space="preserve"> </w:t>
      </w:r>
      <w:r>
        <w:t xml:space="preserve">We launched "Ramadan Health Support Packages" including after-hours teleconsultation credits and extended prescription refill windows—resulting in 89% of GPs continuing product usage during the fasting period.</w:t>
      </w:r>
    </w:p>
    <w:p>
      <w:pPr>
        <w:numPr>
          <w:ilvl w:val="0"/>
          <w:numId w:val="1002"/>
        </w:numPr>
        <w:pStyle w:val="Compact"/>
      </w:pPr>
      <w:r>
        <w:rPr>
          <w:bCs/>
          <w:b/>
        </w:rPr>
        <w:t xml:space="preserve">Digital Literacy Variance:</w:t>
      </w:r>
      <w:r>
        <w:t xml:space="preserve"> </w:t>
      </w:r>
      <w:r>
        <w:t xml:space="preserve">Older Doctor General Practitioners (45+ years) showed slower adoption of our telehealth tools.</w:t>
      </w:r>
      <w:r>
        <w:t xml:space="preserve"> </w:t>
      </w:r>
      <w:r>
        <w:rPr>
          <w:iCs/>
          <w:i/>
        </w:rPr>
        <w:t xml:space="preserve">Strategic Response:</w:t>
      </w:r>
      <w:r>
        <w:t xml:space="preserve"> </w:t>
      </w:r>
      <w:r>
        <w:t xml:space="preserve">Implemented "Jeddah GP Digital Champions" program where peer GPs provided 1:1 training at clinics like Al-Masri Family Clinic, increasing adoption among this cohort by 63%.</w:t>
      </w:r>
    </w:p>
    <w:bookmarkEnd w:id="24"/>
    <w:bookmarkStart w:id="25" w:name="X9df807fae1cc540bc71387ef6e1ccf6fc3699b8"/>
    <w:p>
      <w:pPr>
        <w:pStyle w:val="Heading3"/>
      </w:pPr>
      <w:r>
        <w:t xml:space="preserve">Jeddah-Specific Market Opportunities for Q4</w:t>
      </w:r>
    </w:p>
    <w:p>
      <w:pPr>
        <w:pStyle w:val="FirstParagraph"/>
      </w:pPr>
      <w:r>
        <w:t xml:space="preserve">Based on Q3 data, three high-potential opportunities have emerged in Saudi Arabia Jeddah:</w:t>
      </w:r>
    </w:p>
    <w:p>
      <w:pPr>
        <w:numPr>
          <w:ilvl w:val="0"/>
          <w:numId w:val="1003"/>
        </w:numPr>
        <w:pStyle w:val="Compact"/>
      </w:pPr>
      <w:r>
        <w:rPr>
          <w:bCs/>
          <w:b/>
        </w:rPr>
        <w:t xml:space="preserve">Preventive Care Bundles:</w:t>
      </w:r>
      <w:r>
        <w:t xml:space="preserve"> </w:t>
      </w:r>
      <w:r>
        <w:t xml:space="preserve">78% of Doctor General Practitioner respondents cited rising obesity rates as their top patient concern. We will launch "Jeddah Wellness Kits" (nutrition planning + activity trackers) in partnership with the Jeddah Municipal Health Authority by November.</w:t>
      </w:r>
    </w:p>
    <w:p>
      <w:pPr>
        <w:numPr>
          <w:ilvl w:val="0"/>
          <w:numId w:val="1003"/>
        </w:numPr>
        <w:pStyle w:val="Compact"/>
      </w:pPr>
      <w:r>
        <w:rPr>
          <w:bCs/>
          <w:b/>
        </w:rPr>
        <w:t xml:space="preserve">Women's Health Focus:</w:t>
      </w:r>
      <w:r>
        <w:t xml:space="preserve"> </w:t>
      </w:r>
      <w:r>
        <w:t xml:space="preserve">Gynecological screenings at Jeddah clinics increased by 22% Q3. Targeting female GPs for women's health products (e.g., cervical cancer screening tools) shows 57% higher conversion rates than general GP promotions.</w:t>
      </w:r>
    </w:p>
    <w:p>
      <w:pPr>
        <w:numPr>
          <w:ilvl w:val="0"/>
          <w:numId w:val="1003"/>
        </w:numPr>
        <w:pStyle w:val="Compact"/>
      </w:pPr>
      <w:r>
        <w:rPr>
          <w:bCs/>
          <w:b/>
        </w:rPr>
        <w:t xml:space="preserve">Private Sector Expansion:</w:t>
      </w:r>
      <w:r>
        <w:t xml:space="preserve"> </w:t>
      </w:r>
      <w:r>
        <w:t xml:space="preserve">With Saudi Arabia's private healthcare sector growing at 14% annually, we'll prioritize contracts with new clinics in Jeddah's expanding districts (Al-Salam, Al-Nakheel) where GP density remains below saturation levels.</w:t>
      </w:r>
    </w:p>
    <w:bookmarkEnd w:id="25"/>
    <w:bookmarkStart w:id="26" w:name="X5ac2fecfe32e62595bcd4319ae86cb4d3d16d77"/>
    <w:p>
      <w:pPr>
        <w:pStyle w:val="Heading3"/>
      </w:pPr>
      <w:r>
        <w:t xml:space="preserve">Conclusion: The Doctor General Practitioner as Saudi Healthcare Catalyst</w:t>
      </w:r>
    </w:p>
    <w:p>
      <w:pPr>
        <w:pStyle w:val="FirstParagraph"/>
      </w:pPr>
      <w:r>
        <w:t xml:space="preserve">This Q3 Sales Report unequivocally confirms that in Saudi Arabia Jeddah, the Doctor General Practitioner is not merely a sales channel but the cornerstone of sustainable healthcare delivery. Our growth trajectory—driven by cultural intelligence, MOH-aligned solutions, and hyper-local execution—positions us for leadership in Saudi Arabia's primary care revolution. The 27.5% YoY increase across all therapeutic categories demonstrates that when sales strategies honor Jeddah's unique healthcare landscape, success becomes measurable and scalable.</w:t>
      </w:r>
    </w:p>
    <w:p>
      <w:pPr>
        <w:pStyle w:val="BodyText"/>
      </w:pPr>
      <w:r>
        <w:t xml:space="preserve">"In Jeddah, we don't sell products—we enable Doctor General Practitioner excellence. Our Q3 results prove that aligning with Saudi Vision 2030's primary care vision isn't just strategic; it's the only path to market leadership." — Fatima Al-Rashid, Regional Sales Director for Western Region</w:t>
      </w:r>
    </w:p>
    <w:p>
      <w:pPr>
        <w:pStyle w:val="BodyText"/>
      </w:pPr>
      <w:r>
        <w:t xml:space="preserve">Report Prepared For:</w:t>
      </w:r>
    </w:p>
    <w:p>
      <w:pPr>
        <w:pStyle w:val="BodyText"/>
      </w:pPr>
      <w:r>
        <w:t xml:space="preserve">Central Sales Leadership, Saudi Arabia</w:t>
      </w:r>
    </w:p>
    <w:p>
      <w:pPr>
        <w:pStyle w:val="BodyText"/>
      </w:pPr>
      <w:r>
        <w:t xml:space="preserve">Prepared By:</w:t>
      </w:r>
    </w:p>
    <w:p>
      <w:pPr>
        <w:pStyle w:val="BodyText"/>
      </w:pPr>
      <w:r>
        <w:t xml:space="preserve">Healthcare Solutions Division | Jeddah Market Intelligence Unit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Doctor General Practitioner Market in Saudi Arabia Jeddah</dc:title>
  <dc:creator/>
  <dc:language>en</dc:language>
  <cp:keywords/>
  <dcterms:created xsi:type="dcterms:W3CDTF">2026-07-23T13:30:10Z</dcterms:created>
  <dcterms:modified xsi:type="dcterms:W3CDTF">2026-07-23T13:30:10Z</dcterms:modified>
</cp:coreProperties>
</file>

<file path=docProps/custom.xml><?xml version="1.0" encoding="utf-8"?>
<Properties xmlns="http://schemas.openxmlformats.org/officeDocument/2006/custom-properties" xmlns:vt="http://schemas.openxmlformats.org/officeDocument/2006/docPropsVTypes"/>
</file>