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195184878f76ecbe6b514df59b870d4af9360b"/>
    <w:p>
      <w:pPr>
        <w:pStyle w:val="Heading1"/>
      </w:pPr>
      <w:r>
        <w:t xml:space="preserve">Sales Report: General Practitioner Services Performance Analysis -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Division</w:t>
      </w:r>
      <w:r>
        <w:br/>
      </w:r>
      <w:r>
        <w:rPr>
          <w:bCs/>
          <w:b/>
        </w:rPr>
        <w:t xml:space="preserve">Reporting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performance of General Practitioner (GP) services across our network of clinics in Riyadh, Saudi Arabia. The quarter demonstrated significant growth in patient acquisition and service utilization, aligning with the Kingdom's healthcare expansion under Vision 2030 initiatives. Total revenue from GP consultations increased by 18% year-over-year, reaching SAR 4.2 million for Q3 2023. Key drivers included enhanced digital health integration (Sehhaty app), strategic partnerships with corporate clients, and targeted outreach in high-demand districts like King Abdullah Financial District (KAFD) and Al Olaya. This report confirms the critical role of the Doctor General Practitioner as the frontline healthcare provider in Saudi Arabia's evolving ecosystem.</w:t>
      </w:r>
    </w:p>
    <w:bookmarkEnd w:id="20"/>
    <w:bookmarkStart w:id="21" w:name="ii.-sales-performance-overview"/>
    <w:p>
      <w:pPr>
        <w:pStyle w:val="Heading2"/>
      </w:pPr>
      <w:r>
        <w:t xml:space="preserve">II. Sales Performance Overview</w:t>
      </w:r>
    </w:p>
    <w:p>
      <w:pPr>
        <w:pStyle w:val="FirstParagraph"/>
      </w:pPr>
      <w:r>
        <w:t xml:space="preserve">Our GP services in Riyadh accounted for 68% of total clinic revenue during Q3 2023, underscoring their centrality to our service model. The following metrics highlight strong performance:</w:t>
      </w:r>
    </w:p>
    <w:p>
      <w:pPr>
        <w:numPr>
          <w:ilvl w:val="0"/>
          <w:numId w:val="1001"/>
        </w:numPr>
        <w:pStyle w:val="Compact"/>
      </w:pPr>
      <w:r>
        <w:rPr>
          <w:bCs/>
          <w:b/>
        </w:rPr>
        <w:t xml:space="preserve">Patient Visits:</w:t>
      </w:r>
      <w:r>
        <w:t xml:space="preserve"> </w:t>
      </w:r>
      <w:r>
        <w:t xml:space="preserve">14,500+ consultations (15% increase from Q2), with a 78% retention rate among established patients.</w:t>
      </w:r>
    </w:p>
    <w:p>
      <w:pPr>
        <w:numPr>
          <w:ilvl w:val="0"/>
          <w:numId w:val="1001"/>
        </w:numPr>
        <w:pStyle w:val="Compact"/>
      </w:pPr>
      <w:r>
        <w:rPr>
          <w:bCs/>
          <w:b/>
        </w:rPr>
        <w:t xml:space="preserve">New Patient Acquisition:</w:t>
      </w:r>
      <w:r>
        <w:t xml:space="preserve"> </w:t>
      </w:r>
      <w:r>
        <w:t xml:space="preserve">3,200 new registrations, driven by corporate wellness contracts (45%) and digital marketing campaigns targeting expatriate communities in Diplomatic Quarter.</w:t>
      </w:r>
    </w:p>
    <w:p>
      <w:pPr>
        <w:numPr>
          <w:ilvl w:val="0"/>
          <w:numId w:val="1001"/>
        </w:numPr>
        <w:pStyle w:val="Compact"/>
      </w:pPr>
      <w:r>
        <w:rPr>
          <w:bCs/>
          <w:b/>
        </w:rPr>
        <w:t xml:space="preserve">Revenue Streams:</w:t>
      </w:r>
      <w:r>
        <w:t xml:space="preserve"> </w:t>
      </w:r>
      <w:r>
        <w:t xml:space="preserve">Consultations (72%), preventive care packages (18%), and telemedicine follow-ups (10%).</w:t>
      </w:r>
    </w:p>
    <w:p>
      <w:pPr>
        <w:numPr>
          <w:ilvl w:val="0"/>
          <w:numId w:val="1001"/>
        </w:numPr>
        <w:pStyle w:val="Compact"/>
      </w:pPr>
      <w:r>
        <w:rPr>
          <w:bCs/>
          <w:b/>
        </w:rPr>
        <w:t xml:space="preserve">Clinic Utilization:</w:t>
      </w:r>
      <w:r>
        <w:t xml:space="preserve"> </w:t>
      </w:r>
      <w:r>
        <w:t xml:space="preserve">Average patient wait time reduced to 22 minutes (vs. 35 in Q2), directly impacting patient satisfaction scores (+19% to 4.7/5).</w:t>
      </w:r>
    </w:p>
    <w:bookmarkEnd w:id="21"/>
    <w:bookmarkStart w:id="22" w:name="Xd9f2554edf3ef9b4b2a8c65d377d1a91e5fef94"/>
    <w:p>
      <w:pPr>
        <w:pStyle w:val="Heading2"/>
      </w:pPr>
      <w:r>
        <w:t xml:space="preserve">III. Market Context: Saudi Arabia Riyadh Focus</w:t>
      </w:r>
    </w:p>
    <w:p>
      <w:pPr>
        <w:pStyle w:val="FirstParagraph"/>
      </w:pPr>
      <w:r>
        <w:t xml:space="preserve">Riyadh’s healthcare market has undergone transformative growth, with the Ministry of Health (MOH) prioritizing primary care access under the National Transformation Plan. As Saudi Arabia’s capital and largest city (population 8 million+), Riyadh presents unique opportunities for General Practitioner services:</w:t>
      </w:r>
    </w:p>
    <w:p>
      <w:pPr>
        <w:pStyle w:val="BodyText"/>
      </w:pPr>
      <w:r>
        <w:rPr>
          <w:bCs/>
          <w:b/>
        </w:rPr>
        <w:t xml:space="preserve">Demographic Drivers:</w:t>
      </w:r>
      <w:r>
        <w:t xml:space="preserve"> </w:t>
      </w:r>
      <w:r>
        <w:t xml:space="preserve">Rapid urbanization in districts like Riyadh City Center and Al Zahra has increased demand for accessible, culturally competent GP care. The expatriate population (25% of Riyadh’s residents) drives consistent demand for English-speaking Doctor General Practitioners, with 62% of new patients requesting bilingual clinicians.</w:t>
      </w:r>
    </w:p>
    <w:p>
      <w:pPr>
        <w:pStyle w:val="BodyText"/>
      </w:pPr>
      <w:r>
        <w:rPr>
          <w:bCs/>
          <w:b/>
        </w:rPr>
        <w:t xml:space="preserve">Policy Alignment:</w:t>
      </w:r>
      <w:r>
        <w:t xml:space="preserve"> </w:t>
      </w:r>
      <w:r>
        <w:t xml:space="preserve">Our service model directly supports Saudi Vision 2030 goals to reduce reliance on tertiary care. MOH’s recent mandate for primary care centers (Al-Muhafaza) in every municipal zone has accelerated our clinic expansion, with three new GP hubs opened in Q3 across Al-Malaz and Diriyah.</w:t>
      </w:r>
    </w:p>
    <w:bookmarkEnd w:id="22"/>
    <w:bookmarkStart w:id="23" w:name="Xee8ba89d7c656ae0e351146e6e5e917cb3ef3d6"/>
    <w:p>
      <w:pPr>
        <w:pStyle w:val="Heading2"/>
      </w:pPr>
      <w:r>
        <w:t xml:space="preserve">IV. Key Growth Initiatives &amp; Sales Strategies</w:t>
      </w:r>
    </w:p>
    <w:p>
      <w:pPr>
        <w:pStyle w:val="FirstParagraph"/>
      </w:pPr>
      <w:r>
        <w:t xml:space="preserve">This quarter’s success stems from targeted strategies leveraging Riyadh’s market dynamics:</w:t>
      </w:r>
    </w:p>
    <w:p>
      <w:pPr>
        <w:numPr>
          <w:ilvl w:val="0"/>
          <w:numId w:val="1002"/>
        </w:numPr>
        <w:pStyle w:val="Compact"/>
      </w:pPr>
      <w:r>
        <w:rPr>
          <w:bCs/>
          <w:b/>
        </w:rPr>
        <w:t xml:space="preserve">Digital Integration:</w:t>
      </w:r>
      <w:r>
        <w:t xml:space="preserve"> </w:t>
      </w:r>
      <w:r>
        <w:t xml:space="preserve">Seamless Sehhaty app integration allowed 58% of appointments to be booked digitally. GP consultations via telemedicine grew 40% as patients preferred virtual follow-ups for minor ailments.</w:t>
      </w:r>
    </w:p>
    <w:p>
      <w:pPr>
        <w:numPr>
          <w:ilvl w:val="0"/>
          <w:numId w:val="1002"/>
        </w:numPr>
        <w:pStyle w:val="Compact"/>
      </w:pPr>
      <w:r>
        <w:rPr>
          <w:bCs/>
          <w:b/>
        </w:rPr>
        <w:t xml:space="preserve">Corporate Partnerships:</w:t>
      </w:r>
      <w:r>
        <w:t xml:space="preserve"> </w:t>
      </w:r>
      <w:r>
        <w:t xml:space="preserve">Strategic contracts with major Riyadh employers (e.g., Saudi Aramco, SABIC) added 1,200 corporate members, offering bundled GP services as part of employee wellness programs.</w:t>
      </w:r>
    </w:p>
    <w:p>
      <w:pPr>
        <w:numPr>
          <w:ilvl w:val="0"/>
          <w:numId w:val="1002"/>
        </w:numPr>
        <w:pStyle w:val="Compact"/>
      </w:pPr>
      <w:r>
        <w:rPr>
          <w:bCs/>
          <w:b/>
        </w:rPr>
        <w:t xml:space="preserve">Cultural Competency Training:</w:t>
      </w:r>
      <w:r>
        <w:t xml:space="preserve"> </w:t>
      </w:r>
      <w:r>
        <w:t xml:space="preserve">Mandatory training for all Doctor General Practitioner staff on Saudi cultural norms and religious considerations (e.g., gender preferences in consultations) improved patient trust metrics by 31%.</w:t>
      </w:r>
    </w:p>
    <w:p>
      <w:pPr>
        <w:numPr>
          <w:ilvl w:val="0"/>
          <w:numId w:val="1002"/>
        </w:numPr>
        <w:pStyle w:val="Compact"/>
      </w:pPr>
      <w:r>
        <w:rPr>
          <w:bCs/>
          <w:b/>
        </w:rPr>
        <w:t xml:space="preserve">Preventive Care Packages:</w:t>
      </w:r>
      <w:r>
        <w:t xml:space="preserve"> </w:t>
      </w:r>
      <w:r>
        <w:t xml:space="preserve">"Riyadh Health Shield" packages (including diabetes, hypertension screening, and vaccination) generated 22% of Q3 revenue and aligned with MOH’s preventive health campaigns.</w:t>
      </w:r>
    </w:p>
    <w:bookmarkEnd w:id="23"/>
    <w:bookmarkStart w:id="24" w:name="v.-challenges-mitigation-strategies"/>
    <w:p>
      <w:pPr>
        <w:pStyle w:val="Heading2"/>
      </w:pPr>
      <w:r>
        <w:t xml:space="preserve">V. Challenges &amp; Mitigation Strategies</w:t>
      </w:r>
    </w:p>
    <w:p>
      <w:pPr>
        <w:pStyle w:val="FirstParagraph"/>
      </w:pPr>
      <w:r>
        <w:t xml:space="preserve">Despite strong performance, challenges emerged in Riyadh’s competitive market:</w:t>
      </w:r>
    </w:p>
    <w:p>
      <w:pPr>
        <w:numPr>
          <w:ilvl w:val="0"/>
          <w:numId w:val="1003"/>
        </w:numPr>
        <w:pStyle w:val="Compact"/>
      </w:pPr>
      <w:r>
        <w:rPr>
          <w:bCs/>
          <w:b/>
        </w:rPr>
        <w:t xml:space="preserve">Staffing Shortages:</w:t>
      </w:r>
      <w:r>
        <w:t xml:space="preserve"> </w:t>
      </w:r>
      <w:r>
        <w:t xml:space="preserve">High demand for experienced GPs led to 15% vacancy rates. *Solution:* Launched a recruitment drive targeting Saudi graduates through King Saud University partnerships and offered housing stipends (approved by Riyadh Human Resources Development Fund).</w:t>
      </w:r>
    </w:p>
    <w:p>
      <w:pPr>
        <w:numPr>
          <w:ilvl w:val="0"/>
          <w:numId w:val="1003"/>
        </w:numPr>
        <w:pStyle w:val="Compact"/>
      </w:pPr>
      <w:r>
        <w:rPr>
          <w:bCs/>
          <w:b/>
        </w:rPr>
        <w:t xml:space="preserve">Seasonal Demand Spikes:</w:t>
      </w:r>
      <w:r>
        <w:t xml:space="preserve"> </w:t>
      </w:r>
      <w:r>
        <w:t xml:space="preserve">Increased patient volume during Ramadan impacted appointment scheduling. *Solution:* Implemented flexible hours (extended evening slots) and prioritized urgent care via the Sehhaty app.</w:t>
      </w:r>
    </w:p>
    <w:p>
      <w:pPr>
        <w:numPr>
          <w:ilvl w:val="0"/>
          <w:numId w:val="1003"/>
        </w:numPr>
        <w:pStyle w:val="Compact"/>
      </w:pPr>
      <w:r>
        <w:rPr>
          <w:bCs/>
          <w:b/>
        </w:rPr>
        <w:t xml:space="preserve">Digital Divide:</w:t>
      </w:r>
      <w:r>
        <w:t xml:space="preserve"> </w:t>
      </w:r>
      <w:r>
        <w:t xml:space="preserve">Older patients struggled with telemedicine. *Solution:* Deployed "Tech Buddy" volunteers at clinics to assist with digital tools, maintaining accessibility for all demographics.</w:t>
      </w:r>
    </w:p>
    <w:bookmarkEnd w:id="24"/>
    <w:bookmarkStart w:id="25" w:name="X6e031b4e09b35aa2dc2c3dd6e5a1bdbad6434fe"/>
    <w:p>
      <w:pPr>
        <w:pStyle w:val="Heading2"/>
      </w:pPr>
      <w:r>
        <w:t xml:space="preserve">VI. Future Outlook &amp; Strategic Recommendations</w:t>
      </w:r>
    </w:p>
    <w:p>
      <w:pPr>
        <w:pStyle w:val="FirstParagraph"/>
      </w:pPr>
      <w:r>
        <w:t xml:space="preserve">Riyadh’s healthcare market presents robust growth potential for Doctor General Practitioner services. Based on Q3 performance and Saudi Arabia’s healthcare roadmap, we recommend:</w:t>
      </w:r>
    </w:p>
    <w:p>
      <w:pPr>
        <w:numPr>
          <w:ilvl w:val="0"/>
          <w:numId w:val="1004"/>
        </w:numPr>
        <w:pStyle w:val="Compact"/>
      </w:pPr>
      <w:r>
        <w:rPr>
          <w:bCs/>
          <w:b/>
        </w:rPr>
        <w:t xml:space="preserve">Expand Rural Outreach:</w:t>
      </w:r>
      <w:r>
        <w:t xml:space="preserve"> </w:t>
      </w:r>
      <w:r>
        <w:t xml:space="preserve">Partner with MOH to establish GP mobile units serving underserved areas like Al-Malaz suburbs, targeting 500+ new patients in Q1 2024.</w:t>
      </w:r>
    </w:p>
    <w:p>
      <w:pPr>
        <w:numPr>
          <w:ilvl w:val="0"/>
          <w:numId w:val="1004"/>
        </w:numPr>
        <w:pStyle w:val="Compact"/>
      </w:pPr>
      <w:r>
        <w:rPr>
          <w:bCs/>
          <w:b/>
        </w:rPr>
        <w:t xml:space="preserve">Enhance AI Integration:</w:t>
      </w:r>
      <w:r>
        <w:t xml:space="preserve"> </w:t>
      </w:r>
      <w:r>
        <w:t xml:space="preserve">Pilot symptom-checker AI tools (integrated with Sehhaty) to streamline GP triage and reduce administrative burden by 25%.</w:t>
      </w:r>
    </w:p>
    <w:bookmarkEnd w:id="25"/>
    <w:bookmarkStart w:id="26" w:name="vii.-conclusion"/>
    <w:p>
      <w:pPr>
        <w:pStyle w:val="Heading2"/>
      </w:pPr>
      <w:r>
        <w:t xml:space="preserve">VII. Conclusion</w:t>
      </w:r>
    </w:p>
    <w:p>
      <w:pPr>
        <w:pStyle w:val="FirstParagraph"/>
      </w:pPr>
      <w:r>
        <w:t xml:space="preserve">The Q3 Sales Report confirms General Practitioner services as the cornerstone of our Riyadh healthcare operations. With 18% YoY revenue growth and strong alignment with Saudi Arabia’s Vision 2030 healthcare objectives, our GP network has proven its value in delivering accessible, patient-centered care. The Doctor General Practitioner remains the vital bridge between community health needs and Kingdom-wide health transformation initiatives in Riyadh. Continued investment in digital infrastructure, cultural competence, and strategic partnerships will ensure sustained growth as Saudi Arabia’s primary healthcare ecosystem matures.</w:t>
      </w:r>
    </w:p>
    <w:p>
      <w:pPr>
        <w:pStyle w:val="BodyText"/>
      </w:pPr>
      <w:r>
        <w:rPr>
          <w:bCs/>
          <w:b/>
        </w:rPr>
        <w:t xml:space="preserve">Prepared By:</w:t>
      </w:r>
      <w:r>
        <w:t xml:space="preserve"> </w:t>
      </w:r>
      <w:r>
        <w:t xml:space="preserve">Healthcare Sales Strategy Division</w:t>
      </w:r>
      <w:r>
        <w:br/>
      </w:r>
      <w:r>
        <w:rPr>
          <w:bCs/>
          <w:b/>
        </w:rPr>
        <w:t xml:space="preserve">Contact:</w:t>
      </w:r>
      <w:r>
        <w:t xml:space="preserve"> </w:t>
      </w:r>
      <w:r>
        <w:t xml:space="preserve">sales@healthcare-sa.com | +966 11 XXX XXXX</w:t>
      </w:r>
      <w:r>
        <w:br/>
      </w:r>
      <w:r>
        <w:rPr>
          <w:iCs/>
          <w:i/>
        </w:rPr>
        <w:t xml:space="preserve">This report reflects data from Riyadh clinics (Al-Madinah, Al-Olaya, KAFD) covering 75% of our Saudi Arabia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in Riyadh, Saudi Arabia</dc:title>
  <dc:creator/>
  <dc:language>en</dc:language>
  <cp:keywords/>
  <dcterms:created xsi:type="dcterms:W3CDTF">2026-07-21T07:24:51Z</dcterms:created>
  <dcterms:modified xsi:type="dcterms:W3CDTF">2026-07-21T07:24:51Z</dcterms:modified>
</cp:coreProperties>
</file>

<file path=docProps/custom.xml><?xml version="1.0" encoding="utf-8"?>
<Properties xmlns="http://schemas.openxmlformats.org/officeDocument/2006/custom-properties" xmlns:vt="http://schemas.openxmlformats.org/officeDocument/2006/docPropsVTypes"/>
</file>