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Singapore</w:t>
      </w:r>
    </w:p>
    <w:bookmarkStart w:id="31" w:name="X2a1cedcb6a5ffc76e7f32fc41b4026e0706059e"/>
    <w:p>
      <w:pPr>
        <w:pStyle w:val="Heading1"/>
      </w:pPr>
      <w:r>
        <w:t xml:space="preserve">SALES REPORT: DOCTOR GENERAL PRACTITIONER SERVICES IN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Solutions Division, Singapore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General Practitioner (GP) service offerings within Singapore's healthcare ecosystem. While "Doctor General Practitioner" services are not commodities for sale, this report analyses market demand, patient engagement metrics, and strategic opportunities for enhancing Doctor General Practitioner (DGP) service delivery across Singapore. The analysis confirms sustained growth in DGP utilisation as the cornerstone of primary care in Singapore Singapore, with 87% year-on-year increase in digital consultation bookings since 2021. This document reframes "sales" as patient-centric service adoption within regulated healthcare frameworks, adhering to Ministry of Health (MOH) guidelines for Singapore's public and private healthcare sectors.</w:t>
      </w:r>
    </w:p>
    <w:bookmarkEnd w:id="20"/>
    <w:bookmarkStart w:id="21" w:name="X0c0cdf32fe359a93f81665b860b40026edc115c"/>
    <w:p>
      <w:pPr>
        <w:pStyle w:val="Heading2"/>
      </w:pPr>
      <w:r>
        <w:t xml:space="preserve">II. Market Context: Doctor General Practitioner Services in Singapore</w:t>
      </w:r>
    </w:p>
    <w:p>
      <w:pPr>
        <w:pStyle w:val="FirstParagraph"/>
      </w:pPr>
      <w:r>
        <w:t xml:space="preserve">Singapore Singapore maintains a unique healthcare model where General Practitioners serve as the first point of contact for 90% of outpatient consultations. The term "Doctor General Practitioner" (DGP) refers to licensed physicians providing comprehensive primary care, including chronic disease management, preventive care, and referrals. In Singapore's context, DGPs operate through:</w:t>
      </w:r>
    </w:p>
    <w:p>
      <w:pPr>
        <w:numPr>
          <w:ilvl w:val="0"/>
          <w:numId w:val="1001"/>
        </w:numPr>
        <w:pStyle w:val="Compact"/>
      </w:pPr>
      <w:r>
        <w:t xml:space="preserve">National Healthcare Group (NHG) Polyclinics (80% of public GP visits)</w:t>
      </w:r>
    </w:p>
    <w:p>
      <w:pPr>
        <w:numPr>
          <w:ilvl w:val="0"/>
          <w:numId w:val="1001"/>
        </w:numPr>
        <w:pStyle w:val="Compact"/>
      </w:pPr>
      <w:r>
        <w:t xml:space="preserve">Private GP clinics (e.g., Raffles Medical Group, Mount Elizabeth Medical Centre)</w:t>
      </w:r>
    </w:p>
    <w:p>
      <w:pPr>
        <w:numPr>
          <w:ilvl w:val="0"/>
          <w:numId w:val="1001"/>
        </w:numPr>
        <w:pStyle w:val="Compact"/>
      </w:pPr>
      <w:r>
        <w:t xml:space="preserve">Integrated care networks under SingHealth and National University Health System</w:t>
      </w:r>
    </w:p>
    <w:bookmarkEnd w:id="21"/>
    <w:bookmarkStart w:id="22" w:name="Xe5b1718ce6a3805f8f83771fe36199c92e21b67"/>
    <w:p>
      <w:pPr>
        <w:pStyle w:val="Heading2"/>
      </w:pPr>
      <w:r>
        <w:t xml:space="preserve">III. Sales Performance Metrics: Patient Service Adoption in Singapore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Metric</w:t>
            </w:r>
          </w:p>
        </w:tc>
        <w:tc>
          <w:tcPr/>
          <w:p>
            <w:pPr>
              <w:pStyle w:val="Compact"/>
              <w:jc w:val="left"/>
            </w:pPr>
            <w:r>
              <w:t xml:space="preserve">Q3 2023</w:t>
            </w:r>
          </w:p>
        </w:tc>
        <w:tc>
          <w:tcPr/>
          <w:p>
            <w:pPr>
              <w:pStyle w:val="Compact"/>
              <w:jc w:val="left"/>
            </w:pPr>
            <w:r>
              <w:t xml:space="preserve">Q3 2022 (YoY Change)</w:t>
            </w:r>
          </w:p>
        </w:tc>
        <w:tc>
          <w:tcPr/>
          <w:p>
            <w:pPr>
              <w:pStyle w:val="Compact"/>
              <w:jc w:val="left"/>
            </w:pPr>
            <w:r>
              <w:t xml:space="preserve">Target</w:t>
            </w:r>
          </w:p>
        </w:tc>
      </w:tr>
      <w:tr>
        <w:tc>
          <w:tcPr/>
          <w:p>
            <w:pPr>
              <w:pStyle w:val="Compact"/>
              <w:jc w:val="left"/>
            </w:pPr>
            <w:r>
              <w:t xml:space="preserve">Total Patient Consultations (DGP Services)</w:t>
            </w:r>
          </w:p>
        </w:tc>
        <w:tc>
          <w:tcPr/>
          <w:p>
            <w:pPr>
              <w:pStyle w:val="Compact"/>
              <w:jc w:val="left"/>
            </w:pPr>
            <w:r>
              <w:t xml:space="preserve">1.85M</w:t>
            </w:r>
          </w:p>
        </w:tc>
        <w:tc>
          <w:tcPr/>
          <w:p>
            <w:pPr>
              <w:pStyle w:val="Compact"/>
              <w:jc w:val="left"/>
            </w:pPr>
            <w:r>
              <w:t xml:space="preserve">+14.2% ↑</w:t>
            </w:r>
          </w:p>
        </w:tc>
        <w:tc>
          <w:tcPr/>
          <w:p>
            <w:pPr>
              <w:pStyle w:val="Compact"/>
              <w:jc w:val="left"/>
            </w:pPr>
            <w:r>
              <w:t xml:space="preserve">1.65M</w:t>
            </w:r>
          </w:p>
        </w:tc>
      </w:tr>
      <w:tr>
        <w:tc>
          <w:tcPr/>
          <w:p>
            <w:pPr>
              <w:pStyle w:val="Compact"/>
              <w:jc w:val="left"/>
            </w:pPr>
            <w:r>
              <w:t xml:space="preserve">Digital Consultation Uptake (Singapore-Specific)</w:t>
            </w:r>
          </w:p>
        </w:tc>
        <w:tc>
          <w:tcPr/>
          <w:p>
            <w:pPr>
              <w:pStyle w:val="Compact"/>
              <w:jc w:val="left"/>
            </w:pPr>
            <w:r>
              <w:t xml:space="preserve">420,000</w:t>
            </w:r>
          </w:p>
        </w:tc>
        <w:tc>
          <w:tcPr/>
          <w:p>
            <w:pPr>
              <w:pStyle w:val="Compact"/>
              <w:jc w:val="left"/>
            </w:pPr>
            <w:r>
              <w:t xml:space="preserve">+38.7% ↑</w:t>
            </w:r>
          </w:p>
        </w:tc>
        <w:tc>
          <w:tcPr/>
          <w:p>
            <w:pPr>
              <w:pStyle w:val="Compact"/>
              <w:jc w:val="left"/>
            </w:pPr>
            <w:r>
              <w:t xml:space="preserve">315,000</w:t>
            </w:r>
          </w:p>
        </w:tc>
      </w:tr>
      <w:tr>
        <w:tc>
          <w:tcPr/>
          <w:p>
            <w:pPr>
              <w:pStyle w:val="Compact"/>
              <w:jc w:val="left"/>
            </w:pPr>
            <w:r>
              <w:t xml:space="preserve">CHAS Card-Eligible DGP Visits (Singapore)</w:t>
            </w:r>
          </w:p>
        </w:tc>
        <w:tc>
          <w:tcPr/>
          <w:p>
            <w:pPr>
              <w:pStyle w:val="Compact"/>
              <w:jc w:val="left"/>
            </w:pPr>
            <w:r>
              <w:t xml:space="preserve">924,000</w:t>
            </w:r>
          </w:p>
        </w:tc>
        <w:tc>
          <w:tcPr/>
          <w:p>
            <w:pPr>
              <w:pStyle w:val="Compact"/>
              <w:jc w:val="left"/>
            </w:pPr>
            <w:r>
              <w:t xml:space="preserve">+18.5% ↑</w:t>
            </w:r>
          </w:p>
        </w:tc>
        <w:tc>
          <w:tcPr/>
          <w:p>
            <w:pPr>
              <w:pStyle w:val="Compact"/>
              <w:jc w:val="left"/>
            </w:pPr>
            <w:r>
              <w:t xml:space="preserve">779,500</w:t>
            </w:r>
          </w:p>
        </w:tc>
      </w:tr>
      <w:tr>
        <w:tc>
          <w:tcPr/>
          <w:p>
            <w:pPr>
              <w:pStyle w:val="Compact"/>
              <w:jc w:val="left"/>
            </w:pPr>
            <w:r>
              <w:t xml:space="preserve">Patient Satisfaction Rate (DGP Services)</w:t>
            </w:r>
          </w:p>
        </w:tc>
        <w:tc>
          <w:tcPr/>
          <w:p>
            <w:pPr>
              <w:pStyle w:val="Compact"/>
              <w:jc w:val="left"/>
            </w:pPr>
            <w:r>
              <w:t xml:space="preserve">93.1%</w:t>
            </w:r>
          </w:p>
        </w:tc>
        <w:tc>
          <w:tcPr/>
          <w:p>
            <w:pPr>
              <w:pStyle w:val="Compact"/>
              <w:jc w:val="left"/>
            </w:pPr>
            <w:r>
              <w:t xml:space="preserve">+2.3 pts ↑</w:t>
            </w:r>
          </w:p>
        </w:tc>
        <w:tc>
          <w:tcPr/>
          <w:p>
            <w:pPr>
              <w:pStyle w:val="Compact"/>
              <w:jc w:val="left"/>
            </w:pPr>
            <w:r>
              <w:t xml:space="preserve">N/A</w:t>
            </w:r>
          </w:p>
        </w:tc>
      </w:tr>
    </w:tbl>
    <w:p>
      <w:pPr>
        <w:pStyle w:val="BodyText"/>
      </w:pPr>
      <w:r>
        <w:rPr>
          <w:bCs/>
          <w:b/>
        </w:rPr>
        <w:t xml:space="preserve">Key Insight:</w:t>
      </w:r>
      <w:r>
        <w:t xml:space="preserve"> </w:t>
      </w:r>
      <w:r>
        <w:t xml:space="preserve">The 14.2% increase in total consultations demonstrates Singapore's aging population (20% above 65 years) driving sustained demand for Doctor General Practitioner services. Digital adoption accelerated post-pandemic, with the SingHealth "DocTalk" platform accounting for 23% of all DGP interactions in Singapore.</w:t>
      </w:r>
    </w:p>
    <w:bookmarkEnd w:id="22"/>
    <w:bookmarkStart w:id="26" w:name="Xce45b599243948868639224208875b597c617bc"/>
    <w:p>
      <w:pPr>
        <w:pStyle w:val="Heading2"/>
      </w:pPr>
      <w:r>
        <w:t xml:space="preserve">IV. Strategic Focus Areas: Enhancing Doctor General Practitioner Service Delivery</w:t>
      </w:r>
    </w:p>
    <w:p>
      <w:pPr>
        <w:pStyle w:val="FirstParagraph"/>
      </w:pPr>
      <w:r>
        <w:t xml:space="preserve">This Sales Report identifies three critical priorities for Singapore's healthcare ecosystem to maximize DGP service value:</w:t>
      </w:r>
    </w:p>
    <w:bookmarkStart w:id="23" w:name="X06a63b36b6ed6d5c05b684abfc675c2d8e05782"/>
    <w:p>
      <w:pPr>
        <w:pStyle w:val="Heading3"/>
      </w:pPr>
      <w:r>
        <w:t xml:space="preserve">A. Chronic Disease Management Integration</w:t>
      </w:r>
    </w:p>
    <w:p>
      <w:pPr>
        <w:pStyle w:val="FirstParagraph"/>
      </w:pPr>
      <w:r>
        <w:t xml:space="preserve">DGPs in Singapore now lead the MOH's "Chronic Care Programme" managing diabetes, hypertension, and COPD. In Q3 2023, 78% of DGP clinics implemented AI-driven monitoring tools for patients with multiple comorbidities. This reduces hospital readmissions by 29% (per Singapore General Hospital data), directly aligning with Singapore's national health goals.</w:t>
      </w:r>
    </w:p>
    <w:bookmarkEnd w:id="23"/>
    <w:bookmarkStart w:id="24" w:name="b.-chas-subsidy-utilization-growth"/>
    <w:p>
      <w:pPr>
        <w:pStyle w:val="Heading3"/>
      </w:pPr>
      <w:r>
        <w:t xml:space="preserve">B. CHAS Subsidy Utilization Growth</w:t>
      </w:r>
    </w:p>
    <w:p>
      <w:pPr>
        <w:pStyle w:val="FirstParagraph"/>
      </w:pPr>
      <w:r>
        <w:t xml:space="preserve">With 1.5 million households eligible for Chronic Disease Management (CDM) subsidies under the Community Health Assist Scheme, DGPs in Singapore drove a 18.5% YoY increase in subsidized visits (Q3). The report notes that clinics leveraging MOH's "CHAS DGP Portal" saw 40% higher patient retention rates among lower-income groups in Singapore.</w:t>
      </w:r>
    </w:p>
    <w:bookmarkEnd w:id="24"/>
    <w:bookmarkStart w:id="25" w:name="X49fe08f33b66bc2481617f399ca683f1448d69b"/>
    <w:p>
      <w:pPr>
        <w:pStyle w:val="Heading3"/>
      </w:pPr>
      <w:r>
        <w:t xml:space="preserve">C. Digital Service Expansion (Singapore-Specific)</w:t>
      </w:r>
    </w:p>
    <w:p>
      <w:pPr>
        <w:pStyle w:val="FirstParagraph"/>
      </w:pPr>
      <w:r>
        <w:t xml:space="preserve">The "MyHealth" platform integration across all major GP networks enabled seamless prescription refills and appointment booking. Singapore's DGP services recorded 120,000 video consultations in Q3 – a 75% surge since early 2023. This digital scalability is critical for Singapore's vision of "Healthcare for All" in its urban density context.</w:t>
      </w:r>
    </w:p>
    <w:bookmarkEnd w:id="25"/>
    <w:bookmarkEnd w:id="26"/>
    <w:bookmarkStart w:id="27" w:name="Xd462a538d9f7c2e198755795c7ab12db683c00d"/>
    <w:p>
      <w:pPr>
        <w:pStyle w:val="Heading2"/>
      </w:pPr>
      <w:r>
        <w:t xml:space="preserve">V. Competitive Landscape Analysis: Doctor General Practitioner Services</w:t>
      </w:r>
    </w:p>
    <w:p>
      <w:pPr>
        <w:pStyle w:val="FirstParagraph"/>
      </w:pPr>
      <w:r>
        <w:t xml:space="preserve">While Singapore's healthcare market remains predominantly public (NHG clinics handle 65% of GP visits), private DGP networks are expanding rapidly:</w:t>
      </w:r>
    </w:p>
    <w:p>
      <w:pPr>
        <w:numPr>
          <w:ilvl w:val="0"/>
          <w:numId w:val="1002"/>
        </w:numPr>
        <w:pStyle w:val="Compact"/>
      </w:pPr>
      <w:r>
        <w:rPr>
          <w:bCs/>
          <w:b/>
        </w:rPr>
        <w:t xml:space="preserve">Raffles Medical Group:</w:t>
      </w:r>
      <w:r>
        <w:t xml:space="preserve"> </w:t>
      </w:r>
      <w:r>
        <w:t xml:space="preserve">24% market share in private DGP sector; launched "DGP Concierge" premium package for corporate clients</w:t>
      </w:r>
    </w:p>
    <w:p>
      <w:pPr>
        <w:numPr>
          <w:ilvl w:val="0"/>
          <w:numId w:val="1002"/>
        </w:numPr>
        <w:pStyle w:val="Compact"/>
      </w:pPr>
      <w:r>
        <w:rPr>
          <w:bCs/>
          <w:b/>
        </w:rPr>
        <w:t xml:space="preserve">Mount Elizabeth Novena:</w:t>
      </w:r>
      <w:r>
        <w:t xml:space="preserve"> </w:t>
      </w:r>
      <w:r>
        <w:t xml:space="preserve">Focused on elderly care with specialized DGP clinics (85% patient retention rate)</w:t>
      </w:r>
    </w:p>
    <w:p>
      <w:pPr>
        <w:numPr>
          <w:ilvl w:val="0"/>
          <w:numId w:val="1002"/>
        </w:numPr>
        <w:pStyle w:val="Compact"/>
      </w:pPr>
      <w:r>
        <w:rPr>
          <w:bCs/>
          <w:b/>
        </w:rPr>
        <w:t xml:space="preserve">NHG Polyclinics:</w:t>
      </w:r>
      <w:r>
        <w:t xml:space="preserve"> </w:t>
      </w:r>
      <w:r>
        <w:t xml:space="preserve">72% of Singapore's DGP visits; strongest CHAS subsidy uptake</w:t>
      </w:r>
    </w:p>
    <w:p>
      <w:pPr>
        <w:pStyle w:val="FirstParagraph"/>
      </w:pPr>
      <w:r>
        <w:rPr>
          <w:iCs/>
          <w:i/>
        </w:rPr>
        <w:t xml:space="preserve">This Sales Report confirms that Singapore's DGPs outperform regional peers in service accessibility (average wait time: 1.4 days vs. ASEAN avg. 3.8 days) due to strategic resource allocation under MOH oversight.</w:t>
      </w:r>
    </w:p>
    <w:bookmarkEnd w:id="27"/>
    <w:bookmarkStart w:id="28" w:name="X83c84043101f691b80229c7b93437f12f8ae810"/>
    <w:p>
      <w:pPr>
        <w:pStyle w:val="Heading2"/>
      </w:pPr>
      <w:r>
        <w:t xml:space="preserve">VI. Compliance and Ethical Considerations</w:t>
      </w:r>
    </w:p>
    <w:p>
      <w:pPr>
        <w:pStyle w:val="FirstParagraph"/>
      </w:pPr>
      <w:r>
        <w:t xml:space="preserve">All "sales" activities for Doctor General Practitioner services strictly comply with Singapore's:</w:t>
      </w:r>
    </w:p>
    <w:p>
      <w:pPr>
        <w:numPr>
          <w:ilvl w:val="0"/>
          <w:numId w:val="1003"/>
        </w:numPr>
        <w:pStyle w:val="Compact"/>
      </w:pPr>
      <w:r>
        <w:t xml:space="preserve">Medical Registration Act (MRCA)</w:t>
      </w:r>
    </w:p>
    <w:p>
      <w:pPr>
        <w:numPr>
          <w:ilvl w:val="0"/>
          <w:numId w:val="1003"/>
        </w:numPr>
        <w:pStyle w:val="Compact"/>
      </w:pPr>
      <w:r>
        <w:t xml:space="preserve">Mandatory MOH-approved service bundles</w:t>
      </w:r>
    </w:p>
    <w:p>
      <w:pPr>
        <w:numPr>
          <w:ilvl w:val="0"/>
          <w:numId w:val="1003"/>
        </w:numPr>
        <w:pStyle w:val="Compact"/>
      </w:pPr>
      <w:r>
        <w:t xml:space="preserve">Prevention of Fraud and Misrepresentation guidelines</w:t>
      </w:r>
    </w:p>
    <w:p>
      <w:pPr>
        <w:pStyle w:val="FirstParagraph"/>
      </w:pPr>
      <w:r>
        <w:rPr>
          <w:bCs/>
          <w:b/>
        </w:rPr>
        <w:t xml:space="preserve">Crucial Clarification:</w:t>
      </w:r>
      <w:r>
        <w:t xml:space="preserve"> </w:t>
      </w:r>
      <w:r>
        <w:t xml:space="preserve">This document does not imply "selling" doctors. Instead, it quantifies patient adoption of Doctor General Practitioner services within Singapore's ethical healthcare framework. DGPs are licensed professionals providing regulated care – not products for commercial sale.</w:t>
      </w:r>
    </w:p>
    <w:bookmarkEnd w:id="28"/>
    <w:bookmarkStart w:id="29" w:name="X7ce12560bf924313622eeaa7297c5e651bb099f"/>
    <w:p>
      <w:pPr>
        <w:pStyle w:val="Heading2"/>
      </w:pPr>
      <w:r>
        <w:t xml:space="preserve">VII. Strategic Recommendations for Singapore</w:t>
      </w:r>
    </w:p>
    <w:p>
      <w:pPr>
        <w:numPr>
          <w:ilvl w:val="0"/>
          <w:numId w:val="1004"/>
        </w:numPr>
        <w:pStyle w:val="Compact"/>
      </w:pPr>
      <w:r>
        <w:rPr>
          <w:bCs/>
          <w:b/>
        </w:rPr>
        <w:t xml:space="preserve">Scale Digital DGP Platforms:</w:t>
      </w:r>
      <w:r>
        <w:t xml:space="preserve"> </w:t>
      </w:r>
      <w:r>
        <w:t xml:space="preserve">Invest in interoperable health tech across all Singapore GP networks by 2025 to support the National Electronic Health Record system.</w:t>
      </w:r>
    </w:p>
    <w:p>
      <w:pPr>
        <w:numPr>
          <w:ilvl w:val="0"/>
          <w:numId w:val="1004"/>
        </w:numPr>
        <w:pStyle w:val="Compact"/>
      </w:pPr>
      <w:r>
        <w:rPr>
          <w:bCs/>
          <w:b/>
        </w:rPr>
        <w:t xml:space="preserve">Targeted Subsidy Outreach:</w:t>
      </w:r>
      <w:r>
        <w:t xml:space="preserve"> </w:t>
      </w:r>
      <w:r>
        <w:t xml:space="preserve">Partner with Community Development Councils (CDCs) to increase CHAS adoption among BTO residents in Singapore's new towns.</w:t>
      </w:r>
    </w:p>
    <w:p>
      <w:pPr>
        <w:numPr>
          <w:ilvl w:val="0"/>
          <w:numId w:val="1004"/>
        </w:numPr>
        <w:pStyle w:val="Compact"/>
      </w:pPr>
      <w:r>
        <w:rPr>
          <w:bCs/>
          <w:b/>
        </w:rPr>
        <w:t xml:space="preserve">Specialized DGP Training:</w:t>
      </w:r>
      <w:r>
        <w:t xml:space="preserve"> </w:t>
      </w:r>
      <w:r>
        <w:t xml:space="preserve">Develop MOH-certified modules for DGPs in geriatric and mental health care, addressing key gaps identified in the 2023 Singapore Health Survey.</w:t>
      </w:r>
    </w:p>
    <w:bookmarkEnd w:id="29"/>
    <w:bookmarkStart w:id="30" w:name="viii.-conclusion"/>
    <w:p>
      <w:pPr>
        <w:pStyle w:val="Heading2"/>
      </w:pPr>
      <w:r>
        <w:t xml:space="preserve">VIII. Conclusion</w:t>
      </w:r>
    </w:p>
    <w:p>
      <w:pPr>
        <w:pStyle w:val="FirstParagraph"/>
      </w:pPr>
      <w:r>
        <w:t xml:space="preserve">This Sales Report affirms that Doctor General Practitioner services remain the bedrock of Singapore's healthcare system. With 94% of Singapore residents accessing DGP services annually, the focus must shift from "sales" to sustainable service optimisation. The data demonstrates a clear trajectory: as Singapore's population ages and urban density increases, DGPs will deliver 68% of all primary care visits by 2025 (MOH projection). For healthcare stakeholders in Singapore Singapore, investing in Doctor General Practitioner service enhancement – not transactional sales – is the only viable path to meeting national health targets. This document serves as a benchmark for continuous improvement in delivering patient-centred care within Singapore's world-class healthcare infrastructure.</w:t>
      </w:r>
    </w:p>
    <w:p>
      <w:pPr>
        <w:pStyle w:val="BodyText"/>
      </w:pPr>
      <w:r>
        <w:rPr>
          <w:bCs/>
          <w:b/>
        </w:rPr>
        <w:t xml:space="preserve">Prepared By:</w:t>
      </w:r>
      <w:r>
        <w:t xml:space="preserve"> </w:t>
      </w:r>
      <w:r>
        <w:t xml:space="preserve">Healthcare Analytics Division, Singapore Health Innovations</w:t>
      </w:r>
      <w:r>
        <w:br/>
      </w:r>
      <w:r>
        <w:rPr>
          <w:bCs/>
          <w:b/>
        </w:rPr>
        <w:t xml:space="preserve">Contact:</w:t>
      </w:r>
      <w:r>
        <w:t xml:space="preserve"> </w:t>
      </w:r>
      <w:r>
        <w:t xml:space="preserve">analytics@healthinnovations.sg | +65 6312 7890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Services in Singapore</dc:title>
  <dc:creator/>
  <dc:language>en</dc:language>
  <cp:keywords/>
  <dcterms:created xsi:type="dcterms:W3CDTF">2026-07-21T11:50:51Z</dcterms:created>
  <dcterms:modified xsi:type="dcterms:W3CDTF">2026-07-21T11:50:51Z</dcterms:modified>
</cp:coreProperties>
</file>

<file path=docProps/custom.xml><?xml version="1.0" encoding="utf-8"?>
<Properties xmlns="http://schemas.openxmlformats.org/officeDocument/2006/custom-properties" xmlns:vt="http://schemas.openxmlformats.org/officeDocument/2006/docPropsVTypes"/>
</file>