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Practice</w:t>
      </w:r>
      <w:r>
        <w:t xml:space="preserve"> </w:t>
      </w:r>
      <w:r>
        <w:t xml:space="preserve">Performance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722c8aa9a5963a56eecebc9d53098ad3a101129"/>
    <w:p>
      <w:pPr>
        <w:pStyle w:val="Heading1"/>
      </w:pPr>
      <w:r>
        <w:t xml:space="preserve">Sales Report: General Practitioner Practice Performance in Johannesburg, South Africa</w:t>
      </w:r>
    </w:p>
    <w:p>
      <w:pPr>
        <w:pStyle w:val="FirstParagraph"/>
      </w:pPr>
      <w:r>
        <w:rPr>
          <w:bCs/>
          <w:b/>
        </w:rPr>
        <w:t xml:space="preserve">Prepared For:</w:t>
      </w:r>
      <w:r>
        <w:t xml:space="preserve"> </w:t>
      </w:r>
      <w:r>
        <w:t xml:space="preserve">Executive Leadership &amp; Strategic Stakeholders</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Johannesburg Metropolitan Municipality, South Africa</w:t>
      </w:r>
    </w:p>
    <w:bookmarkStart w:id="20" w:name="i.-executive-summary"/>
    <w:p>
      <w:pPr>
        <w:pStyle w:val="Heading2"/>
      </w:pPr>
      <w:r>
        <w:t xml:space="preserve">I. Executive Summary</w:t>
      </w:r>
    </w:p>
    <w:p>
      <w:pPr>
        <w:pStyle w:val="FirstParagraph"/>
      </w:pPr>
      <w:r>
        <w:t xml:space="preserve">This Sales Report details the performance of General Practitioner (GP) practice operations within the Johannesburg metropolitan area, South Africa. As a cornerstone of primary healthcare delivery in our nation's economic hub, GPs face unique market dynamics shaped by urbanization, public healthcare strain, and evolving patient expectations. This quarter demonstrated robust growth (+12.7% year-over-year revenue) across our network of Johannesburg-based clinics, driven by increased patient volume (18.3% YoY) and strategic expansion into underserved suburbs. The report confirms the critical role of the</w:t>
      </w:r>
      <w:r>
        <w:t xml:space="preserve"> </w:t>
      </w:r>
      <w:r>
        <w:rPr>
          <w:iCs/>
          <w:i/>
        </w:rPr>
        <w:t xml:space="preserve">Doctor General Practitioner</w:t>
      </w:r>
      <w:r>
        <w:t xml:space="preserve"> </w:t>
      </w:r>
      <w:r>
        <w:t xml:space="preserve">in addressing South Africa's primary care deficit, with Johannesburg serving as the pivotal proving ground for scalable healthcare business models.</w:t>
      </w:r>
    </w:p>
    <w:bookmarkEnd w:id="20"/>
    <w:bookmarkStart w:id="21" w:name="X8045d222e0efc6a5272d32a8b73b1f84c0cfbcd"/>
    <w:p>
      <w:pPr>
        <w:pStyle w:val="Heading2"/>
      </w:pPr>
      <w:r>
        <w:t xml:space="preserve">II. Market Context: Johannesburg's Primary Care Landscape</w:t>
      </w:r>
    </w:p>
    <w:p>
      <w:pPr>
        <w:pStyle w:val="FirstParagraph"/>
      </w:pPr>
      <w:r>
        <w:t xml:space="preserve">Johannesburg, South Africa's largest city and economic engine, presents a complex yet high-potential environment for General Practitioner services. With a population exceeding 5 million in the metro area and significant gaps in public sector primary care (per SA Medical Council 2023 data), private GP practices are increasingly the first point of contact for urban residents. Key contextual factors influencing our sales performance include:</w:t>
      </w:r>
    </w:p>
    <w:p>
      <w:pPr>
        <w:numPr>
          <w:ilvl w:val="0"/>
          <w:numId w:val="1001"/>
        </w:numPr>
        <w:pStyle w:val="Compact"/>
      </w:pPr>
      <w:r>
        <w:rPr>
          <w:bCs/>
          <w:b/>
        </w:rPr>
        <w:t xml:space="preserve">Public Sector Pressure:</w:t>
      </w:r>
      <w:r>
        <w:t xml:space="preserve"> </w:t>
      </w:r>
      <w:r>
        <w:t xml:space="preserve">Overburdened government clinics drive patients toward private GPs for timely care, particularly in affluent suburbs (Sandton, Fourways) and growing townships (Soweto, Alexandra).</w:t>
      </w:r>
    </w:p>
    <w:p>
      <w:pPr>
        <w:numPr>
          <w:ilvl w:val="0"/>
          <w:numId w:val="1001"/>
        </w:numPr>
        <w:pStyle w:val="Compact"/>
      </w:pPr>
      <w:r>
        <w:rPr>
          <w:bCs/>
          <w:b/>
        </w:rPr>
        <w:t xml:space="preserve">Medical Scheme Evolution:</w:t>
      </w:r>
      <w:r>
        <w:t xml:space="preserve"> </w:t>
      </w:r>
      <w:r>
        <w:t xml:space="preserve">Increased coverage for chronic disease management under major schemes like Discovery Health and Bonitas has boosted demand for ongoing GP consultations.</w:t>
      </w:r>
    </w:p>
    <w:p>
      <w:pPr>
        <w:numPr>
          <w:ilvl w:val="0"/>
          <w:numId w:val="1001"/>
        </w:numPr>
        <w:pStyle w:val="Compact"/>
      </w:pPr>
      <w:r>
        <w:rPr>
          <w:bCs/>
          <w:b/>
        </w:rPr>
        <w:t xml:space="preserve">Urban Demographics:</w:t>
      </w:r>
      <w:r>
        <w:t xml:space="preserve"> </w:t>
      </w:r>
      <w:r>
        <w:t xml:space="preserve">Johannesburg's diverse population (65% Black African, 20% Coloured, 12% White) requires culturally competent care, directly impacting patient retention rates.</w:t>
      </w:r>
    </w:p>
    <w:bookmarkEnd w:id="21"/>
    <w:bookmarkStart w:id="23" w:name="Xcc459587b4b2c27b4b319ce211d59c72631be67"/>
    <w:p>
      <w:pPr>
        <w:pStyle w:val="Heading2"/>
      </w:pPr>
      <w:r>
        <w:t xml:space="preserve">III. Sales Performance Highlights: Q3 2023</w:t>
      </w:r>
    </w:p>
    <w:p>
      <w:pPr>
        <w:pStyle w:val="FirstParagraph"/>
      </w:pPr>
      <w:r>
        <w:t xml:space="preserve">The Johannesburg GP practice network achieved significant milestones this quarter:</w:t>
      </w:r>
    </w:p>
    <w:p>
      <w:pPr>
        <w:pStyle w:val="BodyText"/>
      </w:pPr>
      <w:r>
        <w:t xml:space="preserve">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Patient Consultations (Johannesburg)</w:t>
      </w:r>
    </w:p>
    <w:p>
      <w:pPr>
        <w:pStyle w:val="BodyText"/>
      </w:pPr>
      <w:r>
        <w:t xml:space="preserve">14,850</w:t>
      </w:r>
    </w:p>
    <w:p>
      <w:pPr>
        <w:pStyle w:val="BodyText"/>
      </w:pPr>
      <w:r>
        <w:t xml:space="preserve">12,560</w:t>
      </w:r>
    </w:p>
    <w:p>
      <w:pPr>
        <w:pStyle w:val="BodyText"/>
      </w:pPr>
      <w:r>
        <w:t xml:space="preserve">+18.3%</w:t>
      </w:r>
    </w:p>
    <w:p>
      <w:pPr>
        <w:pStyle w:val="BodyText"/>
      </w:pPr>
      <w:r>
        <w:t xml:space="preserve">Total Revenue (ZAR)</w:t>
      </w:r>
    </w:p>
    <w:p>
      <w:pPr>
        <w:pStyle w:val="BodyText"/>
      </w:pPr>
      <w:r>
        <w:t xml:space="preserve">2,970,000</w:t>
      </w:r>
    </w:p>
    <w:p>
      <w:pPr>
        <w:pStyle w:val="BodyText"/>
      </w:pPr>
      <w:r>
        <w:t xml:space="preserve">2,635,488</w:t>
      </w:r>
    </w:p>
    <w:p>
      <w:pPr>
        <w:pStyle w:val="BodyText"/>
      </w:pPr>
      <w:r>
        <w:t xml:space="preserve">Average Consultation Fee (ZAR)</w:t>
      </w:r>
    </w:p>
    <w:p>
      <w:pPr>
        <w:pStyle w:val="BodyText"/>
      </w:pPr>
      <w:r>
        <w:t xml:space="preserve">199.50</w:t>
      </w:r>
    </w:p>
    <w:p>
      <w:pPr>
        <w:pStyle w:val="BodyText"/>
      </w:pPr>
      <w:r>
        <w:t xml:space="preserve">187.50</w:t>
      </w:r>
    </w:p>
    <w:p>
      <w:pPr>
        <w:pStyle w:val="BodyText"/>
      </w:pPr>
      <w:r>
        <w:t xml:space="preserve">+6.4%</w:t>
      </w:r>
    </w:p>
    <w:p>
      <w:pPr>
        <w:pStyle w:val="BodyText"/>
      </w:pPr>
      <w:r>
        <w:t xml:space="preserve">New Patient Acquisitions</w:t>
      </w:r>
    </w:p>
    <w:p>
      <w:pPr>
        <w:pStyle w:val="BodyText"/>
      </w:pPr>
      <w:r>
        <w:t xml:space="preserve">3,240</w:t>
      </w:r>
    </w:p>
    <w:p>
      <w:pPr>
        <w:pStyle w:val="BodyText"/>
      </w:pPr>
      <w:r>
        <w:t xml:space="preserve">Patient Retention Rate (Johannesburg)</w:t>
      </w:r>
    </w:p>
    <w:p>
      <w:pPr>
        <w:pStyle w:val="BodyText"/>
      </w:pPr>
      <w:r>
        <w:t xml:space="preserve">78.2%</w:t>
      </w:r>
    </w:p>
    <w:bookmarkStart w:id="22" w:name="key-drivers-of-growth"/>
    <w:p>
      <w:pPr>
        <w:pStyle w:val="Heading3"/>
      </w:pPr>
      <w:r>
        <w:t xml:space="preserve">Key Drivers of Growth:</w:t>
      </w:r>
    </w:p>
    <w:p>
      <w:pPr>
        <w:numPr>
          <w:ilvl w:val="0"/>
          <w:numId w:val="1002"/>
        </w:numPr>
        <w:pStyle w:val="Compact"/>
      </w:pPr>
      <w:r>
        <w:rPr>
          <w:bCs/>
          <w:b/>
        </w:rPr>
        <w:t xml:space="preserve">New Clinic Launches:</w:t>
      </w:r>
      <w:r>
        <w:t xml:space="preserve"> </w:t>
      </w:r>
      <w:r>
        <w:t xml:space="preserve">Successful openings in Midrand (July) and Alexandra (August) directly contributed to 25% of new patient acquisitions.</w:t>
      </w:r>
    </w:p>
    <w:p>
      <w:pPr>
        <w:numPr>
          <w:ilvl w:val="0"/>
          <w:numId w:val="1002"/>
        </w:numPr>
        <w:pStyle w:val="Compact"/>
      </w:pPr>
      <w:r>
        <w:rPr>
          <w:bCs/>
          <w:b/>
        </w:rPr>
        <w:t xml:space="preserve">Chronic Disease Packages:</w:t>
      </w:r>
      <w:r>
        <w:t xml:space="preserve"> </w:t>
      </w:r>
      <w:r>
        <w:t xml:space="preserve">Bundled management plans for hypertension/diabetes generated 32% of total revenue, aligning with medical scheme incentives.</w:t>
      </w:r>
    </w:p>
    <w:p>
      <w:pPr>
        <w:numPr>
          <w:ilvl w:val="0"/>
          <w:numId w:val="1002"/>
        </w:numPr>
        <w:pStyle w:val="Compact"/>
      </w:pPr>
      <w:r>
        <w:rPr>
          <w:bCs/>
          <w:b/>
        </w:rPr>
        <w:t xml:space="preserve">Telehealth Adoption:</w:t>
      </w:r>
      <w:r>
        <w:t xml:space="preserve"> </w:t>
      </w:r>
      <w:r>
        <w:t xml:space="preserve">Virtual consultations (15% of total volume) captured patients in remote areas like Diepsloot, expanding our geographic reach within Johannesburg.</w:t>
      </w:r>
    </w:p>
    <w:bookmarkEnd w:id="22"/>
    <w:bookmarkEnd w:id="23"/>
    <w:bookmarkStart w:id="24" w:name="X17f224b95fdcaa23570c4a215715dd0b575c136"/>
    <w:p>
      <w:pPr>
        <w:pStyle w:val="Heading2"/>
      </w:pPr>
      <w:r>
        <w:t xml:space="preserve">IV. Challenges Faced by Doctor General Practitioner Practices in Johannesburg</w:t>
      </w:r>
    </w:p>
    <w:p>
      <w:pPr>
        <w:pStyle w:val="FirstParagraph"/>
      </w:pPr>
      <w:r>
        <w:t xml:space="preserve">Despite growth, significant operational hurdles persist for GPs operating in South Africa's largest city:</w:t>
      </w:r>
    </w:p>
    <w:p>
      <w:pPr>
        <w:numPr>
          <w:ilvl w:val="0"/>
          <w:numId w:val="1003"/>
        </w:numPr>
        <w:pStyle w:val="Compact"/>
      </w:pPr>
      <w:r>
        <w:rPr>
          <w:bCs/>
          <w:b/>
        </w:rPr>
        <w:t xml:space="preserve">Staffing Shortages:</w:t>
      </w:r>
      <w:r>
        <w:t xml:space="preserve"> </w:t>
      </w:r>
      <w:r>
        <w:t xml:space="preserve">High attrition among nurses and administrative staff (28% turnover rate) due to competition from public sector roles and higher salaries elsewhere.</w:t>
      </w:r>
    </w:p>
    <w:p>
      <w:pPr>
        <w:numPr>
          <w:ilvl w:val="0"/>
          <w:numId w:val="1003"/>
        </w:numPr>
        <w:pStyle w:val="Compact"/>
      </w:pPr>
      <w:r>
        <w:rPr>
          <w:bCs/>
          <w:b/>
        </w:rPr>
        <w:t xml:space="preserve">Patient Cost Sensitivity:</w:t>
      </w:r>
      <w:r>
        <w:t xml:space="preserve"> </w:t>
      </w:r>
      <w:r>
        <w:t xml:space="preserve">Rising inflation in Johannesburg has increased patient reluctance towards private fees, requiring flexible payment plans (offered by 65% of clinics).</w:t>
      </w:r>
    </w:p>
    <w:p>
      <w:pPr>
        <w:numPr>
          <w:ilvl w:val="0"/>
          <w:numId w:val="1003"/>
        </w:numPr>
        <w:pStyle w:val="Compact"/>
      </w:pPr>
      <w:r>
        <w:rPr>
          <w:bCs/>
          <w:b/>
        </w:rPr>
        <w:t xml:space="preserve">Infrastructure Strain:</w:t>
      </w:r>
      <w:r>
        <w:t xml:space="preserve"> </w:t>
      </w:r>
      <w:r>
        <w:t xml:space="preserve">Older clinic facilities in townships require investment to meet SARS-2 certification standards for public health compliance.</w:t>
      </w:r>
    </w:p>
    <w:p>
      <w:pPr>
        <w:numPr>
          <w:ilvl w:val="0"/>
          <w:numId w:val="1003"/>
        </w:numPr>
        <w:pStyle w:val="Compact"/>
      </w:pPr>
      <w:r>
        <w:rPr>
          <w:bCs/>
          <w:b/>
        </w:rPr>
        <w:t xml:space="preserve">Regulatory Complexity:</w:t>
      </w:r>
      <w:r>
        <w:t xml:space="preserve"> </w:t>
      </w:r>
      <w:r>
        <w:t xml:space="preserve">Navigating the Medical and Dental Council of South Africa (MDCSA) guidelines while managing medical scheme billing creates administrative overhead.</w:t>
      </w:r>
    </w:p>
    <w:bookmarkEnd w:id="24"/>
    <w:bookmarkStart w:id="25" w:name="X04475aad7cfa761e89d50149248609250e3cf0f"/>
    <w:p>
      <w:pPr>
        <w:pStyle w:val="Heading2"/>
      </w:pPr>
      <w:r>
        <w:t xml:space="preserve">V. Strategic Recommendations: Scaling GP Sales in Johannesburg</w:t>
      </w:r>
    </w:p>
    <w:p>
      <w:pPr>
        <w:pStyle w:val="FirstParagraph"/>
      </w:pPr>
      <w:r>
        <w:t xml:space="preserve">To sustain growth and address challenges, we propose the following actions for our Johannesburg-based Doctor General Practitioner network:</w:t>
      </w:r>
    </w:p>
    <w:p>
      <w:pPr>
        <w:numPr>
          <w:ilvl w:val="0"/>
          <w:numId w:val="1004"/>
        </w:numPr>
        <w:pStyle w:val="Compact"/>
      </w:pPr>
      <w:r>
        <w:rPr>
          <w:bCs/>
          <w:b/>
        </w:rPr>
        <w:t xml:space="preserve">Expand Township Outreach:</w:t>
      </w:r>
      <w:r>
        <w:t xml:space="preserve"> </w:t>
      </w:r>
      <w:r>
        <w:t xml:space="preserve">Allocate 40% of Q4 marketing budget to community health campaigns in Soweto and Khayelitsha, partnering with local NGOs to build trust. Target: +15% patient acquisition in underserved areas.</w:t>
      </w:r>
    </w:p>
    <w:p>
      <w:pPr>
        <w:numPr>
          <w:ilvl w:val="0"/>
          <w:numId w:val="1004"/>
        </w:numPr>
        <w:pStyle w:val="Compact"/>
      </w:pPr>
      <w:r>
        <w:rPr>
          <w:bCs/>
          <w:b/>
        </w:rPr>
        <w:t xml:space="preserve">Enhance Digital Platform:</w:t>
      </w:r>
      <w:r>
        <w:t xml:space="preserve"> </w:t>
      </w:r>
      <w:r>
        <w:t xml:space="preserve">Invest in a localized telehealth app with Zulu/Sotho language support, reducing no-show rates (currently 22%) and capturing rural Johannesburg patients.</w:t>
      </w:r>
    </w:p>
    <w:p>
      <w:pPr>
        <w:numPr>
          <w:ilvl w:val="0"/>
          <w:numId w:val="1004"/>
        </w:numPr>
        <w:pStyle w:val="Compact"/>
      </w:pPr>
      <w:r>
        <w:rPr>
          <w:bCs/>
          <w:b/>
        </w:rPr>
        <w:t xml:space="preserve">Staff Retention Program:</w:t>
      </w:r>
      <w:r>
        <w:t xml:space="preserve"> </w:t>
      </w:r>
      <w:r>
        <w:t xml:space="preserve">Launch competitive benefits package including subsidized transport (via Johannesburg City Council partnerships) and career progression paths for nurses.</w:t>
      </w:r>
    </w:p>
    <w:p>
      <w:pPr>
        <w:numPr>
          <w:ilvl w:val="0"/>
          <w:numId w:val="1004"/>
        </w:numPr>
        <w:pStyle w:val="Compact"/>
      </w:pPr>
      <w:r>
        <w:rPr>
          <w:bCs/>
          <w:b/>
        </w:rPr>
        <w:t xml:space="preserve">Negotiate Bulk Schemes:</w:t>
      </w:r>
      <w:r>
        <w:t xml:space="preserve"> </w:t>
      </w:r>
      <w:r>
        <w:t xml:space="preserve">Secure preferential rates with major medical schemes for chronic care bundles, enabling 10% fee reductions without revenue loss through volume scaling.</w:t>
      </w:r>
    </w:p>
    <w:bookmarkEnd w:id="25"/>
    <w:bookmarkStart w:id="26" w:name="X22df8f34ba270a5c15263e082e384596d65b40d"/>
    <w:p>
      <w:pPr>
        <w:pStyle w:val="Heading2"/>
      </w:pPr>
      <w:r>
        <w:t xml:space="preserve">VI. Conclusion: The Critical Role of the Doctor General Practitioner in South Africa Johannesburg</w:t>
      </w:r>
    </w:p>
    <w:p>
      <w:pPr>
        <w:pStyle w:val="FirstParagraph"/>
      </w:pPr>
      <w:r>
        <w:t xml:space="preserve">This Sales Report underscores that the</w:t>
      </w:r>
      <w:r>
        <w:t xml:space="preserve"> </w:t>
      </w:r>
      <w:r>
        <w:rPr>
          <w:iCs/>
          <w:i/>
        </w:rPr>
        <w:t xml:space="preserve">Doctor General Practitioner</w:t>
      </w:r>
      <w:r>
        <w:t xml:space="preserve"> </w:t>
      </w:r>
      <w:r>
        <w:t xml:space="preserve">is not merely a clinical role but the linchpin of sustainable healthcare delivery in South Africa's urban centers. In Johannesburg, where public healthcare resources are stretched thin and population density creates acute demand, GP practices directly contribute to economic productivity by enabling early intervention and reducing hospital admissions. Our Q3 performance demonstrates that when clinics prioritize patient accessibility (through telehealth, township presence) and operational efficiency (via streamlined billing), they achieve both social impact and commercial success.</w:t>
      </w:r>
    </w:p>
    <w:p>
      <w:pPr>
        <w:pStyle w:val="BodyText"/>
      </w:pPr>
      <w:r>
        <w:t xml:space="preserve">South Africa's healthcare system urgently needs scalable models like ours to bridge the primary care gap. Johannesburg serves as the ideal laboratory for these innovations due to its diverse population, economic complexity, and existing infrastructure challenges. As we execute our strategic recommendations in Q4 2023, we project an additional 15% revenue growth while expanding our reach to serve 15% more low-income patients—proving that ethical healthcare delivery and strong sales performance are intrinsically linked.</w:t>
      </w:r>
    </w:p>
    <w:p>
      <w:pPr>
        <w:pStyle w:val="BodyText"/>
      </w:pPr>
      <w:r>
        <w:rPr>
          <w:bCs/>
          <w:b/>
        </w:rPr>
        <w:t xml:space="preserve">Forward Look:</w:t>
      </w:r>
      <w:r>
        <w:t xml:space="preserve"> </w:t>
      </w:r>
      <w:r>
        <w:t xml:space="preserve">Our focus remains on becoming the leading provider of integrated primary care for Johannesburg residents, where every consultation by a</w:t>
      </w:r>
      <w:r>
        <w:t xml:space="preserve"> </w:t>
      </w:r>
      <w:r>
        <w:rPr>
          <w:iCs/>
          <w:i/>
        </w:rPr>
        <w:t xml:space="preserve">Doctor General Practitioner</w:t>
      </w:r>
      <w:r>
        <w:t xml:space="preserve"> </w:t>
      </w:r>
      <w:r>
        <w:t xml:space="preserve">represents not just a transaction, but a critical step toward improving South Africa's national health outcomes. We are committed to measuring success beyond revenue—tracking patient satisfaction scores and chronic disease control rates as core metrics of our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Practice Performance in Johannesburg, South Africa</dc:title>
  <dc:creator/>
  <dc:language>en</dc:language>
  <cp:keywords/>
  <dcterms:created xsi:type="dcterms:W3CDTF">2026-06-04T20:31:32Z</dcterms:created>
  <dcterms:modified xsi:type="dcterms:W3CDTF">2026-06-04T20:31:32Z</dcterms:modified>
</cp:coreProperties>
</file>

<file path=docProps/custom.xml><?xml version="1.0" encoding="utf-8"?>
<Properties xmlns="http://schemas.openxmlformats.org/officeDocument/2006/custom-properties" xmlns:vt="http://schemas.openxmlformats.org/officeDocument/2006/docPropsVTypes"/>
</file>